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2268"/>
        <w:gridCol w:w="2835"/>
        <w:gridCol w:w="997"/>
        <w:gridCol w:w="3539"/>
      </w:tblGrid>
      <w:tr w:rsidR="00CA0621" w:rsidRPr="00DE2E99" w14:paraId="77907080" w14:textId="77777777" w:rsidTr="0017061D">
        <w:trPr>
          <w:trHeight w:val="217"/>
          <w:jc w:val="center"/>
        </w:trPr>
        <w:tc>
          <w:tcPr>
            <w:tcW w:w="9639" w:type="dxa"/>
            <w:gridSpan w:val="4"/>
            <w:shd w:val="clear" w:color="auto" w:fill="3F0731"/>
          </w:tcPr>
          <w:p w14:paraId="2AF7980A" w14:textId="77777777" w:rsidR="00CA0621" w:rsidRPr="00DE2E99" w:rsidRDefault="00CA0621" w:rsidP="0017061D">
            <w:pPr>
              <w:pStyle w:val="Documentname"/>
              <w:framePr w:hSpace="0" w:wrap="auto" w:vAnchor="margin" w:hAnchor="text" w:xAlign="left" w:yAlign="inline"/>
              <w:rPr>
                <w:rFonts w:ascii="Poppins" w:hAnsi="Poppins" w:cs="Poppins"/>
              </w:rPr>
            </w:pPr>
            <w:r w:rsidRPr="00DE2E99">
              <w:rPr>
                <w:rFonts w:ascii="Poppins" w:hAnsi="Poppins" w:cs="Poppins"/>
                <w:szCs w:val="28"/>
              </w:rPr>
              <w:t xml:space="preserve">Workgroup </w:t>
            </w:r>
            <w:r w:rsidR="0051703E">
              <w:rPr>
                <w:rFonts w:ascii="Poppins" w:hAnsi="Poppins" w:cs="Poppins"/>
                <w:szCs w:val="28"/>
              </w:rPr>
              <w:t>Report</w:t>
            </w:r>
          </w:p>
        </w:tc>
      </w:tr>
      <w:tr w:rsidR="00CA0621" w:rsidRPr="00DE2E99" w14:paraId="1B6B0E07" w14:textId="77777777" w:rsidTr="00D85BBE">
        <w:trPr>
          <w:trHeight w:val="6271"/>
          <w:jc w:val="center"/>
        </w:trPr>
        <w:tc>
          <w:tcPr>
            <w:tcW w:w="5103" w:type="dxa"/>
            <w:gridSpan w:val="2"/>
          </w:tcPr>
          <w:p w14:paraId="0C866917" w14:textId="77777777" w:rsidR="00255254" w:rsidRPr="00255254" w:rsidRDefault="00255254" w:rsidP="002111CA">
            <w:pPr>
              <w:spacing w:after="0" w:line="240" w:lineRule="auto"/>
              <w:ind w:right="113"/>
              <w:rPr>
                <w:rFonts w:ascii="Poppins" w:hAnsi="Poppins" w:cs="Poppins"/>
                <w:b/>
                <w:color w:val="3F0731"/>
                <w:sz w:val="56"/>
                <w:szCs w:val="56"/>
              </w:rPr>
            </w:pPr>
            <w:r w:rsidRPr="00255254">
              <w:rPr>
                <w:rFonts w:ascii="Poppins" w:hAnsi="Poppins" w:cs="Poppins"/>
                <w:b/>
                <w:color w:val="3F0731"/>
                <w:sz w:val="56"/>
                <w:szCs w:val="56"/>
              </w:rPr>
              <w:t xml:space="preserve">CMP460: </w:t>
            </w:r>
          </w:p>
          <w:p w14:paraId="4EFE1A23" w14:textId="15F5DF45" w:rsidR="00CA0621" w:rsidRPr="00DE2E99" w:rsidRDefault="00255254" w:rsidP="002111CA">
            <w:pPr>
              <w:spacing w:after="0" w:line="240" w:lineRule="auto"/>
              <w:ind w:right="113"/>
              <w:rPr>
                <w:rFonts w:ascii="Poppins" w:hAnsi="Poppins" w:cs="Poppins"/>
                <w:b/>
                <w:color w:val="3F0731"/>
                <w:sz w:val="44"/>
                <w:szCs w:val="44"/>
              </w:rPr>
            </w:pPr>
            <w:r w:rsidRPr="00255254">
              <w:rPr>
                <w:rFonts w:ascii="Poppins" w:hAnsi="Poppins" w:cs="Poppins"/>
                <w:b/>
                <w:color w:val="3F0731"/>
                <w:sz w:val="56"/>
                <w:szCs w:val="56"/>
              </w:rPr>
              <w:t xml:space="preserve">Improving Transmission Connection Asset Charging </w:t>
            </w:r>
          </w:p>
          <w:p w14:paraId="77AC9A58" w14:textId="69BAB2C7" w:rsidR="00CA0621" w:rsidRPr="00DE2E99" w:rsidRDefault="00CA0621" w:rsidP="00AD10AE">
            <w:pPr>
              <w:spacing w:line="240" w:lineRule="auto"/>
              <w:rPr>
                <w:rFonts w:ascii="Poppins" w:hAnsi="Poppins" w:cs="Poppins"/>
              </w:rPr>
            </w:pPr>
            <w:r w:rsidRPr="00DE2E99">
              <w:rPr>
                <w:rFonts w:ascii="Poppins" w:hAnsi="Poppins" w:cs="Poppins"/>
                <w:b/>
              </w:rPr>
              <w:t>Overview:</w:t>
            </w:r>
            <w:r w:rsidR="00AD10AE">
              <w:rPr>
                <w:rFonts w:ascii="Poppins" w:hAnsi="Poppins" w:cs="Poppins"/>
                <w:b/>
              </w:rPr>
              <w:t xml:space="preserve"> </w:t>
            </w:r>
            <w:r w:rsidR="00AD10AE" w:rsidRPr="002111CA">
              <w:rPr>
                <w:rFonts w:ascii="Poppins" w:hAnsi="Poppins" w:cs="Poppins"/>
                <w:bCs/>
                <w:sz w:val="20"/>
                <w:szCs w:val="20"/>
              </w:rPr>
              <w:t>This modification proposes improvements to the framework for charging Transmission Connection Assets. The proposal seeks to socialise costs and cap customer contributions to create a more certain and fair charging methodology.</w:t>
            </w:r>
          </w:p>
        </w:tc>
        <w:tc>
          <w:tcPr>
            <w:tcW w:w="4536" w:type="dxa"/>
            <w:gridSpan w:val="2"/>
          </w:tcPr>
          <w:p w14:paraId="33AA25B2" w14:textId="77777777" w:rsidR="00CA0621" w:rsidRPr="00DE2E99" w:rsidRDefault="00CA0621" w:rsidP="0017061D">
            <w:pPr>
              <w:rPr>
                <w:rFonts w:ascii="Poppins" w:hAnsi="Poppins" w:cs="Poppins"/>
                <w:b/>
              </w:rPr>
            </w:pPr>
            <w:r w:rsidRPr="00DE2E99">
              <w:rPr>
                <w:rFonts w:ascii="Poppins" w:hAnsi="Poppins" w:cs="Poppins"/>
                <w:b/>
              </w:rPr>
              <w:t xml:space="preserve">Modification process &amp; timetable     </w:t>
            </w:r>
          </w:p>
          <w:p w14:paraId="2174DDBB" w14:textId="77777777" w:rsidR="00CA0621" w:rsidRPr="00DE2E99" w:rsidRDefault="00370AF0" w:rsidP="0017061D">
            <w:pPr>
              <w:rPr>
                <w:rFonts w:ascii="Poppins" w:hAnsi="Poppins" w:cs="Poppins"/>
                <w:b/>
              </w:rPr>
            </w:pPr>
            <w:r w:rsidRPr="00491C6D">
              <w:rPr>
                <w:rFonts w:ascii="Poppins" w:hAnsi="Poppins" w:cs="Poppins"/>
                <w:noProof/>
              </w:rPr>
              <mc:AlternateContent>
                <mc:Choice Requires="wps">
                  <w:drawing>
                    <wp:anchor distT="0" distB="0" distL="114300" distR="114300" simplePos="0" relativeHeight="251658241" behindDoc="0" locked="0" layoutInCell="1" allowOverlap="1" wp14:anchorId="20F40752" wp14:editId="4CC9A1F7">
                      <wp:simplePos x="0" y="0"/>
                      <wp:positionH relativeFrom="column">
                        <wp:posOffset>411480</wp:posOffset>
                      </wp:positionH>
                      <wp:positionV relativeFrom="paragraph">
                        <wp:posOffset>24800</wp:posOffset>
                      </wp:positionV>
                      <wp:extent cx="2389475" cy="389286"/>
                      <wp:effectExtent l="0" t="0" r="0" b="0"/>
                      <wp:wrapNone/>
                      <wp:docPr id="2" name="Rectangle: Rounded Corners 2"/>
                      <wp:cNvGraphicFramePr/>
                      <a:graphic xmlns:a="http://schemas.openxmlformats.org/drawingml/2006/main">
                        <a:graphicData uri="http://schemas.microsoft.com/office/word/2010/wordprocessingShape">
                          <wps:wsp>
                            <wps:cNvSpPr/>
                            <wps:spPr>
                              <a:xfrm>
                                <a:off x="0" y="0"/>
                                <a:ext cx="2389475" cy="389286"/>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3DB57"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79427D88" w14:textId="1944CA4B" w:rsidR="00370AF0" w:rsidRPr="00491C6D" w:rsidRDefault="00692FEC" w:rsidP="00692FEC">
                                  <w:pPr>
                                    <w:rPr>
                                      <w:rFonts w:ascii="Poppins" w:hAnsi="Poppins" w:cs="Poppins"/>
                                      <w:color w:val="000000"/>
                                      <w:sz w:val="20"/>
                                      <w:szCs w:val="20"/>
                                    </w:rPr>
                                  </w:pPr>
                                  <w:r w:rsidRPr="00692FEC">
                                    <w:rPr>
                                      <w:rStyle w:val="TimelineChar"/>
                                      <w:rFonts w:ascii="Poppins" w:hAnsi="Poppins" w:cs="Poppins"/>
                                      <w:sz w:val="16"/>
                                      <w:szCs w:val="12"/>
                                    </w:rPr>
                                    <w:t>08 September 2025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20F40752" id="Rectangle: Rounded Corners 2" o:spid="_x0000_s1026" style="position:absolute;margin-left:32.4pt;margin-top:1.95pt;width:188.15pt;height:30.65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32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" filled="f" strokecolor="#3f0731" strokeweight="1pt">
                      <v:stroke joinstyle="miter"/>
                      <v:textbox inset="0,0,0,0">
                        <w:txbxContent>
                          <w:p w14:paraId="4F43DB57"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79427D88" w14:textId="1944CA4B" w:rsidR="00370AF0" w:rsidRPr="00491C6D" w:rsidRDefault="00692FEC" w:rsidP="00692FEC">
                            <w:pPr>
                              <w:rPr>
                                <w:rFonts w:ascii="Poppins" w:hAnsi="Poppins" w:cs="Poppins"/>
                                <w:color w:val="000000"/>
                                <w:sz w:val="20"/>
                                <w:szCs w:val="20"/>
                              </w:rPr>
                            </w:pPr>
                            <w:r w:rsidRPr="00692FEC">
                              <w:rPr>
                                <w:rStyle w:val="TimelineChar"/>
                                <w:rFonts w:ascii="Poppins" w:hAnsi="Poppins" w:cs="Poppins"/>
                                <w:sz w:val="16"/>
                                <w:szCs w:val="12"/>
                              </w:rPr>
                              <w:t>08 September 2025</w:t>
                            </w:r>
                          </w:p>
                        </w:txbxContent>
                      </v:textbox>
                    </v:roundrect>
                  </w:pict>
                </mc:Fallback>
              </mc:AlternateContent>
            </w:r>
            <w:r w:rsidRPr="00491C6D">
              <w:rPr>
                <w:rFonts w:ascii="Poppins" w:hAnsi="Poppins" w:cs="Poppins"/>
                <w:noProof/>
              </w:rPr>
              <mc:AlternateContent>
                <mc:Choice Requires="wpg">
                  <w:drawing>
                    <wp:anchor distT="0" distB="0" distL="114300" distR="114300" simplePos="0" relativeHeight="251658240" behindDoc="0" locked="0" layoutInCell="1" allowOverlap="1" wp14:anchorId="6E575E04" wp14:editId="28BE9EC3">
                      <wp:simplePos x="0" y="0"/>
                      <wp:positionH relativeFrom="column">
                        <wp:posOffset>-635</wp:posOffset>
                      </wp:positionH>
                      <wp:positionV relativeFrom="paragraph">
                        <wp:posOffset>19685</wp:posOffset>
                      </wp:positionV>
                      <wp:extent cx="2800350" cy="3314700"/>
                      <wp:effectExtent l="0" t="19050" r="19050" b="38100"/>
                      <wp:wrapNone/>
                      <wp:docPr id="30" name="Group 30"/>
                      <wp:cNvGraphicFramePr/>
                      <a:graphic xmlns:a="http://schemas.openxmlformats.org/drawingml/2006/main">
                        <a:graphicData uri="http://schemas.microsoft.com/office/word/2010/wordprocessingGroup">
                          <wpg:wgp>
                            <wpg:cNvGrpSpPr/>
                            <wpg:grpSpPr>
                              <a:xfrm>
                                <a:off x="0" y="0"/>
                                <a:ext cx="2800350" cy="3314700"/>
                                <a:chOff x="0" y="0"/>
                                <a:chExt cx="3332480" cy="3676700"/>
                              </a:xfrm>
                              <a:solidFill>
                                <a:srgbClr val="FF66FF"/>
                              </a:solidFill>
                            </wpg:grpSpPr>
                            <wps:wsp>
                              <wps:cNvPr id="32" name="Rectangle: Rounded Corners 32"/>
                              <wps:cNvSpPr/>
                              <wps:spPr>
                                <a:xfrm>
                                  <a:off x="482599" y="527100"/>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1CA5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14:paraId="4468F250" w14:textId="6D686875" w:rsidR="00370AF0" w:rsidRPr="00491C6D" w:rsidRDefault="006644A5" w:rsidP="00370AF0">
                                    <w:pPr>
                                      <w:rPr>
                                        <w:rFonts w:ascii="Poppins" w:hAnsi="Poppins" w:cs="Poppins"/>
                                        <w:color w:val="000000"/>
                                        <w:sz w:val="20"/>
                                        <w:szCs w:val="20"/>
                                      </w:rPr>
                                    </w:pPr>
                                    <w:r w:rsidRPr="006644A5">
                                      <w:rPr>
                                        <w:rFonts w:ascii="Poppins" w:eastAsia="Calibri" w:hAnsi="Poppins" w:cs="Poppins"/>
                                        <w:color w:val="000000"/>
                                        <w:kern w:val="0"/>
                                        <w:sz w:val="16"/>
                                        <w:szCs w:val="12"/>
                                      </w:rPr>
                                      <w:t>28 January 2026 - 18 February 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Rounded Corners 33"/>
                              <wps:cNvSpPr/>
                              <wps:spPr>
                                <a:xfrm>
                                  <a:off x="482600" y="102240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546EC1"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7226F73E" w14:textId="2467B138" w:rsidR="00370AF0" w:rsidRPr="00491C6D" w:rsidRDefault="006F7A0D" w:rsidP="006F7A0D">
                                    <w:pPr>
                                      <w:pStyle w:val="Timeline"/>
                                      <w:rPr>
                                        <w:rFonts w:ascii="Poppins" w:hAnsi="Poppins" w:cs="Poppins"/>
                                        <w:szCs w:val="20"/>
                                      </w:rPr>
                                    </w:pPr>
                                    <w:sdt>
                                      <w:sdtPr>
                                        <w:rPr>
                                          <w:rFonts w:ascii="Poppins" w:hAnsi="Poppins" w:cs="Poppins"/>
                                          <w:sz w:val="16"/>
                                          <w:szCs w:val="12"/>
                                        </w:rPr>
                                        <w:alias w:val="Code Administrator Use"/>
                                        <w:tag w:val="Code Administrator Use"/>
                                        <w:id w:val="-225999022"/>
                                        <w:date w:fullDate="2026-05-14T00:00:00Z">
                                          <w:dateFormat w:val="dd MMMM yyyy"/>
                                          <w:lid w:val="en-GB"/>
                                          <w:storeMappedDataAs w:val="dateTime"/>
                                          <w:calendar w:val="gregorian"/>
                                        </w:date>
                                      </w:sdtPr>
                                      <w:sdtContent>
                                        <w:r w:rsidRPr="006F7A0D">
                                          <w:rPr>
                                            <w:rFonts w:ascii="Poppins" w:hAnsi="Poppins" w:cs="Poppins"/>
                                            <w:sz w:val="16"/>
                                            <w:szCs w:val="12"/>
                                          </w:rPr>
                                          <w:t>14 May 2026</w:t>
                                        </w:r>
                                      </w:sdtContent>
                                    </w:sdt>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82600" y="15240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9328E" w14:textId="77777777" w:rsidR="00370AF0"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16C652D2" w14:textId="40EEF8BD" w:rsidR="00492056" w:rsidRPr="00491C6D" w:rsidRDefault="002D3548" w:rsidP="00370AF0">
                                    <w:pPr>
                                      <w:spacing w:after="0"/>
                                      <w:rPr>
                                        <w:rFonts w:ascii="Poppins" w:hAnsi="Poppins" w:cs="Poppins"/>
                                        <w:b/>
                                        <w:color w:val="3F0731"/>
                                        <w:sz w:val="20"/>
                                        <w:szCs w:val="20"/>
                                      </w:rPr>
                                    </w:pPr>
                                    <w:r w:rsidRPr="002D3548">
                                      <w:rPr>
                                        <w:rFonts w:ascii="Poppins" w:eastAsia="Calibri" w:hAnsi="Poppins" w:cs="Poppins"/>
                                        <w:color w:val="000000"/>
                                        <w:kern w:val="0"/>
                                        <w:sz w:val="16"/>
                                        <w:szCs w:val="12"/>
                                      </w:rPr>
                                      <w:t>22 May 2026 - 15 June 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600" y="20193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9B16B"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sdt>
                                    <w:sdtPr>
                                      <w:rPr>
                                        <w:rFonts w:ascii="Poppins" w:eastAsia="Calibri" w:hAnsi="Poppins" w:cs="Poppins"/>
                                        <w:color w:val="000000"/>
                                        <w:kern w:val="0"/>
                                        <w:sz w:val="16"/>
                                        <w:szCs w:val="12"/>
                                      </w:rPr>
                                      <w:alias w:val="Code Administrator Use"/>
                                      <w:tag w:val="Code Administrator Use"/>
                                      <w:id w:val="1181855534"/>
                                      <w:date w:fullDate="2026-07-23T00:00:00Z">
                                        <w:dateFormat w:val="dd MMMM yyyy"/>
                                        <w:lid w:val="en-GB"/>
                                        <w:storeMappedDataAs w:val="dateTime"/>
                                        <w:calendar w:val="gregorian"/>
                                      </w:date>
                                    </w:sdtPr>
                                    <w:sdtContent>
                                      <w:p w14:paraId="5A080A52" w14:textId="6E762D95" w:rsidR="00370AF0" w:rsidRPr="00491C6D" w:rsidRDefault="00380228" w:rsidP="00370AF0">
                                        <w:pPr>
                                          <w:rPr>
                                            <w:rFonts w:ascii="Poppins" w:hAnsi="Poppins" w:cs="Poppins"/>
                                            <w:color w:val="000000"/>
                                            <w:sz w:val="20"/>
                                            <w:szCs w:val="20"/>
                                          </w:rPr>
                                        </w:pPr>
                                        <w:r>
                                          <w:rPr>
                                            <w:rFonts w:ascii="Poppins" w:eastAsia="Calibri" w:hAnsi="Poppins" w:cs="Poppins"/>
                                            <w:color w:val="000000"/>
                                            <w:kern w:val="0"/>
                                            <w:sz w:val="16"/>
                                            <w:szCs w:val="12"/>
                                          </w:rPr>
                                          <w:t>23 July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2600" y="25146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4F955"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rPr>
                                      <w:alias w:val="Code Administrator Use"/>
                                      <w:tag w:val="Code Administrator Use"/>
                                      <w:id w:val="-536125309"/>
                                      <w:date w:fullDate="2026-08-10T00:00:00Z">
                                        <w:dateFormat w:val="dd MMMM yyyy"/>
                                        <w:lid w:val="en-GB"/>
                                        <w:storeMappedDataAs w:val="dateTime"/>
                                        <w:calendar w:val="gregorian"/>
                                      </w:date>
                                    </w:sdtPr>
                                    <w:sdtContent>
                                      <w:p w14:paraId="6ADE04F9" w14:textId="33859FAA" w:rsidR="00370AF0" w:rsidRPr="00491C6D" w:rsidRDefault="00614BB3" w:rsidP="00370AF0">
                                        <w:pPr>
                                          <w:rPr>
                                            <w:rFonts w:ascii="Poppins" w:hAnsi="Poppins" w:cs="Poppins"/>
                                            <w:color w:val="000000"/>
                                            <w:sz w:val="20"/>
                                            <w:szCs w:val="20"/>
                                          </w:rPr>
                                        </w:pPr>
                                        <w:r w:rsidRPr="00614BB3">
                                          <w:rPr>
                                            <w:rFonts w:ascii="Poppins" w:eastAsia="Calibri" w:hAnsi="Poppins" w:cs="Poppins"/>
                                            <w:color w:val="000000"/>
                                            <w:kern w:val="0"/>
                                            <w:sz w:val="16"/>
                                            <w:szCs w:val="12"/>
                                          </w:rPr>
                                          <w:t>10 August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950" y="301630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12A7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6D972D16" w14:textId="6ADBC486" w:rsidR="00492056" w:rsidRPr="00491C6D" w:rsidRDefault="00C4377F"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fullDate="2027-04-01T00:00:00Z">
                                          <w:dateFormat w:val="dd MMMM yyyy"/>
                                          <w:lid w:val="en-GB"/>
                                          <w:storeMappedDataAs w:val="dateTime"/>
                                          <w:calendar w:val="gregorian"/>
                                        </w:date>
                                      </w:sdtPr>
                                      <w:sdtContent>
                                        <w:r w:rsidRPr="00C4377F">
                                          <w:rPr>
                                            <w:rFonts w:ascii="Poppins" w:hAnsi="Poppins" w:cs="Poppins"/>
                                            <w:sz w:val="16"/>
                                            <w:szCs w:val="12"/>
                                          </w:rPr>
                                          <w:t>01 April 2027</w:t>
                                        </w:r>
                                      </w:sdtContent>
                                    </w:sdt>
                                    <w:r w:rsidR="00492056" w:rsidRPr="00491C6D">
                                      <w:rPr>
                                        <w:rFonts w:ascii="Poppins" w:hAnsi="Poppins" w:cs="Poppins"/>
                                        <w:szCs w:val="20"/>
                                      </w:rPr>
                                      <w:t xml:space="preserve"> </w:t>
                                    </w:r>
                                  </w:p>
                                  <w:p w14:paraId="5BA9899F" w14:textId="77777777" w:rsidR="00370AF0" w:rsidRPr="00491C6D" w:rsidRDefault="00370AF0" w:rsidP="00370AF0">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15D33D" w14:textId="77777777" w:rsidR="00370AF0" w:rsidRPr="00B2143A" w:rsidRDefault="00370AF0" w:rsidP="00370AF0">
                                    <w:pPr>
                                      <w:shd w:val="clear" w:color="auto" w:fill="3F0731"/>
                                      <w:jc w:val="center"/>
                                      <w:rPr>
                                        <w:b/>
                                      </w:rPr>
                                    </w:pPr>
                                    <w:r w:rsidRPr="00B2143A">
                                      <w:rPr>
                                        <w:b/>
                                      </w:rPr>
                                      <w:t>1</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609650"/>
                                  <a:ext cx="648000" cy="432000"/>
                                </a:xfrm>
                                <a:prstGeom prst="chevron">
                                  <a:avLst/>
                                </a:prstGeom>
                                <a:solidFill>
                                  <a:schemeClr val="accent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A202EF" w14:textId="77777777" w:rsidR="00370AF0" w:rsidRPr="00B2143A" w:rsidRDefault="00370AF0" w:rsidP="00370AF0">
                                    <w:pPr>
                                      <w:jc w:val="center"/>
                                      <w:rPr>
                                        <w:b/>
                                      </w:rPr>
                                    </w:pPr>
                                    <w:r w:rsidRPr="00B2143A">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07950" y="1117650"/>
                                  <a:ext cx="648000" cy="432000"/>
                                </a:xfrm>
                                <a:prstGeom prst="chevron">
                                  <a:avLst/>
                                </a:prstGeom>
                                <a:solidFill>
                                  <a:schemeClr val="accent3"/>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28D431" w14:textId="77777777" w:rsidR="00370AF0" w:rsidRPr="00B2143A" w:rsidRDefault="00370AF0" w:rsidP="00370AF0">
                                    <w:pPr>
                                      <w:jc w:val="center"/>
                                      <w:rPr>
                                        <w:b/>
                                      </w:rPr>
                                    </w:pPr>
                                    <w:r w:rsidRPr="00B2143A">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07950" y="1619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53043" w14:textId="77777777" w:rsidR="00370AF0" w:rsidRPr="00B2143A" w:rsidRDefault="00370AF0" w:rsidP="00370AF0">
                                    <w:pPr>
                                      <w:jc w:val="center"/>
                                      <w:rPr>
                                        <w:b/>
                                      </w:rPr>
                                    </w:pPr>
                                    <w:r w:rsidRPr="00B2143A">
                                      <w:rPr>
                                        <w:b/>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7950" y="2127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8C674" w14:textId="77777777" w:rsidR="00370AF0" w:rsidRPr="00B2143A" w:rsidRDefault="00370AF0" w:rsidP="00370AF0">
                                    <w:pPr>
                                      <w:jc w:val="center"/>
                                      <w:rPr>
                                        <w:b/>
                                      </w:rPr>
                                    </w:pPr>
                                    <w:r w:rsidRPr="00B2143A">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12418" w14:textId="77777777" w:rsidR="00370AF0" w:rsidRPr="00B2143A" w:rsidRDefault="00370AF0" w:rsidP="00370AF0">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07950" y="3136950"/>
                                  <a:ext cx="647700" cy="4318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2449E0" w14:textId="77777777" w:rsidR="00370AF0" w:rsidRPr="00B2143A" w:rsidRDefault="00370AF0" w:rsidP="00370AF0">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575E04" id="Group 30" o:spid="_x0000_s1027" style="position:absolute;margin-left:-.05pt;margin-top:1.55pt;width:220.5pt;height:261pt;z-index:251658240;mso-width-relative:margin;mso-height-relative:margin" coordsize="33324,36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">
                      <v:roundrect id="Rectangle: Rounded Corners 32" o:spid="_x0000_s1028" style="position:absolute;left:4825;top:5271;width:28436;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filled="f" strokecolor="#3f0731" strokeweight="1pt">
                        <v:stroke joinstyle="miter"/>
                        <v:textbox inset="0,0,0,0">
                          <w:txbxContent>
                            <w:p w14:paraId="7741CA5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14:paraId="4468F250" w14:textId="6D686875" w:rsidR="00370AF0" w:rsidRPr="00491C6D" w:rsidRDefault="006644A5" w:rsidP="00370AF0">
                              <w:pPr>
                                <w:rPr>
                                  <w:rFonts w:ascii="Poppins" w:hAnsi="Poppins" w:cs="Poppins"/>
                                  <w:color w:val="000000"/>
                                  <w:sz w:val="20"/>
                                  <w:szCs w:val="20"/>
                                </w:rPr>
                              </w:pPr>
                              <w:r w:rsidRPr="006644A5">
                                <w:rPr>
                                  <w:rFonts w:ascii="Poppins" w:eastAsia="Calibri" w:hAnsi="Poppins" w:cs="Poppins"/>
                                  <w:color w:val="000000"/>
                                  <w:kern w:val="0"/>
                                  <w:sz w:val="16"/>
                                  <w:szCs w:val="12"/>
                                </w:rPr>
                                <w:t>28 January 2026 - 18 February 2026</w:t>
                              </w:r>
                            </w:p>
                          </w:txbxContent>
                        </v:textbox>
                      </v:roundrect>
                      <v:roundrect id="Rectangle: Rounded Corners 33" o:spid="_x0000_s1029" style="position:absolute;left:4826;top:10224;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filled="f" strokecolor="#3f0731" strokeweight="1pt">
                        <v:stroke joinstyle="miter"/>
                        <v:textbox inset="0,0,0,0">
                          <w:txbxContent>
                            <w:p w14:paraId="5F546EC1"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7226F73E" w14:textId="2467B138" w:rsidR="00370AF0" w:rsidRPr="00491C6D" w:rsidRDefault="006F7A0D" w:rsidP="006F7A0D">
                              <w:pPr>
                                <w:pStyle w:val="Timeline"/>
                                <w:rPr>
                                  <w:rFonts w:ascii="Poppins" w:hAnsi="Poppins" w:cs="Poppins"/>
                                  <w:szCs w:val="20"/>
                                </w:rPr>
                              </w:pPr>
                              <w:sdt>
                                <w:sdtPr>
                                  <w:rPr>
                                    <w:rFonts w:ascii="Poppins" w:hAnsi="Poppins" w:cs="Poppins"/>
                                    <w:sz w:val="16"/>
                                    <w:szCs w:val="12"/>
                                  </w:rPr>
                                  <w:alias w:val="Code Administrator Use"/>
                                  <w:tag w:val="Code Administrator Use"/>
                                  <w:id w:val="-225999022"/>
                                  <w:date w:fullDate="2026-05-14T00:00:00Z">
                                    <w:dateFormat w:val="dd MMMM yyyy"/>
                                    <w:lid w:val="en-GB"/>
                                    <w:storeMappedDataAs w:val="dateTime"/>
                                    <w:calendar w:val="gregorian"/>
                                  </w:date>
                                </w:sdtPr>
                                <w:sdtContent>
                                  <w:r w:rsidRPr="006F7A0D">
                                    <w:rPr>
                                      <w:rFonts w:ascii="Poppins" w:hAnsi="Poppins" w:cs="Poppins"/>
                                      <w:sz w:val="16"/>
                                      <w:szCs w:val="12"/>
                                    </w:rPr>
                                    <w:t>14 May 2026</w:t>
                                  </w:r>
                                </w:sdtContent>
                              </w:sdt>
                            </w:p>
                          </w:txbxContent>
                        </v:textbox>
                      </v:roundrect>
                      <v:roundrect id="Rectangle: Rounded Corners 34" o:spid="_x0000_s1030" style="position:absolute;left:4826;top:15240;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filled="f" strokecolor="#3f0731" strokeweight="1pt">
                        <v:stroke joinstyle="miter"/>
                        <v:textbox inset="0,0,0,0">
                          <w:txbxContent>
                            <w:p w14:paraId="6DC9328E" w14:textId="77777777" w:rsidR="00370AF0"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16C652D2" w14:textId="40EEF8BD" w:rsidR="00492056" w:rsidRPr="00491C6D" w:rsidRDefault="002D3548" w:rsidP="00370AF0">
                              <w:pPr>
                                <w:spacing w:after="0"/>
                                <w:rPr>
                                  <w:rFonts w:ascii="Poppins" w:hAnsi="Poppins" w:cs="Poppins"/>
                                  <w:b/>
                                  <w:color w:val="3F0731"/>
                                  <w:sz w:val="20"/>
                                  <w:szCs w:val="20"/>
                                </w:rPr>
                              </w:pPr>
                              <w:r w:rsidRPr="002D3548">
                                <w:rPr>
                                  <w:rFonts w:ascii="Poppins" w:eastAsia="Calibri" w:hAnsi="Poppins" w:cs="Poppins"/>
                                  <w:color w:val="000000"/>
                                  <w:kern w:val="0"/>
                                  <w:sz w:val="16"/>
                                  <w:szCs w:val="12"/>
                                </w:rPr>
                                <w:t>22 May 2026 - 15 June 2026</w:t>
                              </w:r>
                            </w:p>
                          </w:txbxContent>
                        </v:textbox>
                      </v:roundrect>
                      <v:roundrect id="Rectangle: Rounded Corners 35" o:spid="_x0000_s1031" style="position:absolute;left:4826;top:2019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filled="f" strokecolor="#3f0731" strokeweight="1pt">
                        <v:stroke joinstyle="miter"/>
                        <v:textbox inset="0,0,0,0">
                          <w:txbxContent>
                            <w:p w14:paraId="05A9B16B"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sdt>
                              <w:sdtPr>
                                <w:rPr>
                                  <w:rFonts w:ascii="Poppins" w:eastAsia="Calibri" w:hAnsi="Poppins" w:cs="Poppins"/>
                                  <w:color w:val="000000"/>
                                  <w:kern w:val="0"/>
                                  <w:sz w:val="16"/>
                                  <w:szCs w:val="12"/>
                                </w:rPr>
                                <w:alias w:val="Code Administrator Use"/>
                                <w:tag w:val="Code Administrator Use"/>
                                <w:id w:val="1181855534"/>
                                <w:date w:fullDate="2026-07-23T00:00:00Z">
                                  <w:dateFormat w:val="dd MMMM yyyy"/>
                                  <w:lid w:val="en-GB"/>
                                  <w:storeMappedDataAs w:val="dateTime"/>
                                  <w:calendar w:val="gregorian"/>
                                </w:date>
                              </w:sdtPr>
                              <w:sdtContent>
                                <w:p w14:paraId="5A080A52" w14:textId="6E762D95" w:rsidR="00370AF0" w:rsidRPr="00491C6D" w:rsidRDefault="00380228" w:rsidP="00370AF0">
                                  <w:pPr>
                                    <w:rPr>
                                      <w:rFonts w:ascii="Poppins" w:hAnsi="Poppins" w:cs="Poppins"/>
                                      <w:color w:val="000000"/>
                                      <w:sz w:val="20"/>
                                      <w:szCs w:val="20"/>
                                    </w:rPr>
                                  </w:pPr>
                                  <w:r>
                                    <w:rPr>
                                      <w:rFonts w:ascii="Poppins" w:eastAsia="Calibri" w:hAnsi="Poppins" w:cs="Poppins"/>
                                      <w:color w:val="000000"/>
                                      <w:kern w:val="0"/>
                                      <w:sz w:val="16"/>
                                      <w:szCs w:val="12"/>
                                    </w:rPr>
                                    <w:t>23 July 2026</w:t>
                                  </w:r>
                                </w:p>
                              </w:sdtContent>
                            </w:sdt>
                          </w:txbxContent>
                        </v:textbox>
                      </v:roundrect>
                      <v:roundrect id="Rectangle: Rounded Corners 36" o:spid="_x0000_s1032" style="position:absolute;left:4826;top:25146;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filled="f" strokecolor="#3f0731" strokeweight="1pt">
                        <v:stroke joinstyle="miter"/>
                        <v:textbox inset="0,0,0,0">
                          <w:txbxContent>
                            <w:p w14:paraId="4504F955"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rPr>
                                <w:alias w:val="Code Administrator Use"/>
                                <w:tag w:val="Code Administrator Use"/>
                                <w:id w:val="-536125309"/>
                                <w:date w:fullDate="2026-08-10T00:00:00Z">
                                  <w:dateFormat w:val="dd MMMM yyyy"/>
                                  <w:lid w:val="en-GB"/>
                                  <w:storeMappedDataAs w:val="dateTime"/>
                                  <w:calendar w:val="gregorian"/>
                                </w:date>
                              </w:sdtPr>
                              <w:sdtContent>
                                <w:p w14:paraId="6ADE04F9" w14:textId="33859FAA" w:rsidR="00370AF0" w:rsidRPr="00491C6D" w:rsidRDefault="00614BB3" w:rsidP="00370AF0">
                                  <w:pPr>
                                    <w:rPr>
                                      <w:rFonts w:ascii="Poppins" w:hAnsi="Poppins" w:cs="Poppins"/>
                                      <w:color w:val="000000"/>
                                      <w:sz w:val="20"/>
                                      <w:szCs w:val="20"/>
                                    </w:rPr>
                                  </w:pPr>
                                  <w:r w:rsidRPr="00614BB3">
                                    <w:rPr>
                                      <w:rFonts w:ascii="Poppins" w:eastAsia="Calibri" w:hAnsi="Poppins" w:cs="Poppins"/>
                                      <w:color w:val="000000"/>
                                      <w:kern w:val="0"/>
                                      <w:sz w:val="16"/>
                                      <w:szCs w:val="12"/>
                                    </w:rPr>
                                    <w:t>10 August 2026</w:t>
                                  </w:r>
                                </w:p>
                              </w:sdtContent>
                            </w:sdt>
                          </w:txbxContent>
                        </v:textbox>
                      </v:roundrect>
                      <v:roundrect id="Rectangle: Rounded Corners 37" o:spid="_x0000_s1033" style="position:absolute;left:4889;top:3016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filled="f" strokecolor="#3f0731" strokeweight="1pt">
                        <v:stroke joinstyle="miter"/>
                        <v:textbox inset="0,0,0,0">
                          <w:txbxContent>
                            <w:p w14:paraId="40112A7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6D972D16" w14:textId="6ADBC486" w:rsidR="00492056" w:rsidRPr="00491C6D" w:rsidRDefault="00C4377F"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fullDate="2027-04-01T00:00:00Z">
                                    <w:dateFormat w:val="dd MMMM yyyy"/>
                                    <w:lid w:val="en-GB"/>
                                    <w:storeMappedDataAs w:val="dateTime"/>
                                    <w:calendar w:val="gregorian"/>
                                  </w:date>
                                </w:sdtPr>
                                <w:sdtContent>
                                  <w:r w:rsidRPr="00C4377F">
                                    <w:rPr>
                                      <w:rFonts w:ascii="Poppins" w:hAnsi="Poppins" w:cs="Poppins"/>
                                      <w:sz w:val="16"/>
                                      <w:szCs w:val="12"/>
                                    </w:rPr>
                                    <w:t>01 April 2027</w:t>
                                  </w:r>
                                </w:sdtContent>
                              </w:sdt>
                              <w:r w:rsidR="00492056" w:rsidRPr="00491C6D">
                                <w:rPr>
                                  <w:rFonts w:ascii="Poppins" w:hAnsi="Poppins" w:cs="Poppins"/>
                                  <w:szCs w:val="20"/>
                                </w:rPr>
                                <w:t xml:space="preserve"> </w:t>
                              </w:r>
                            </w:p>
                            <w:p w14:paraId="5BA9899F" w14:textId="77777777" w:rsidR="00370AF0" w:rsidRPr="00491C6D" w:rsidRDefault="00370AF0" w:rsidP="00370AF0">
                              <w:pPr>
                                <w:rPr>
                                  <w:rFonts w:ascii="Poppins" w:hAnsi="Poppins" w:cs="Poppins"/>
                                  <w:color w:val="000000"/>
                                  <w:sz w:val="20"/>
                                  <w:szCs w:val="20"/>
                                </w:rPr>
                              </w:pPr>
                            </w:p>
                          </w:txbxContent>
                        </v:textbox>
                      </v:round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38" o:spid="_x0000_s1034" type="#_x0000_t55" style="position:absolute;left:-1080;top:108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" adj="14400" fillcolor="#3f0731" strokecolor="#3f0731" strokeweight="1pt">
                        <v:textbox style="layout-flow:vertical;mso-layout-flow-alt:bottom-to-top" inset="0,0,0,0">
                          <w:txbxContent>
                            <w:p w14:paraId="4215D33D" w14:textId="77777777" w:rsidR="00370AF0" w:rsidRPr="00B2143A" w:rsidRDefault="00370AF0" w:rsidP="00370AF0">
                              <w:pPr>
                                <w:shd w:val="clear" w:color="auto" w:fill="3F0731"/>
                                <w:jc w:val="center"/>
                                <w:rPr>
                                  <w:b/>
                                </w:rPr>
                              </w:pPr>
                              <w:r w:rsidRPr="00B2143A">
                                <w:rPr>
                                  <w:b/>
                                </w:rPr>
                                <w:t>1</w:t>
                              </w:r>
                            </w:p>
                          </w:txbxContent>
                        </v:textbox>
                      </v:shape>
                      <v:shape id="Arrow: Chevron 39" o:spid="_x0000_s1035" type="#_x0000_t55" style="position:absolute;left:-1080;top:609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" adj="14400" fillcolor="#3f0731 [3204]" strokecolor="#3f0731" strokeweight="1pt">
                        <v:textbox style="layout-flow:vertical;mso-layout-flow-alt:bottom-to-top" inset="0,0,0,0">
                          <w:txbxContent>
                            <w:p w14:paraId="22A202EF" w14:textId="77777777" w:rsidR="00370AF0" w:rsidRPr="00B2143A" w:rsidRDefault="00370AF0" w:rsidP="00370AF0">
                              <w:pPr>
                                <w:jc w:val="center"/>
                                <w:rPr>
                                  <w:b/>
                                </w:rPr>
                              </w:pPr>
                              <w:r w:rsidRPr="00B2143A">
                                <w:rPr>
                                  <w:b/>
                                </w:rPr>
                                <w:t>2</w:t>
                              </w:r>
                            </w:p>
                          </w:txbxContent>
                        </v:textbox>
                      </v:shape>
                      <v:shape id="Arrow: Chevron 40" o:spid="_x0000_s1036" type="#_x0000_t55" style="position:absolute;left:-1080;top:1117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" adj="14400" fillcolor="fuchsia [3206]" strokecolor="#3f0731" strokeweight="1pt">
                        <v:textbox style="layout-flow:vertical;mso-layout-flow-alt:bottom-to-top" inset="0,0,0,0">
                          <w:txbxContent>
                            <w:p w14:paraId="7B28D431" w14:textId="77777777" w:rsidR="00370AF0" w:rsidRPr="00B2143A" w:rsidRDefault="00370AF0" w:rsidP="00370AF0">
                              <w:pPr>
                                <w:jc w:val="center"/>
                                <w:rPr>
                                  <w:b/>
                                </w:rPr>
                              </w:pPr>
                              <w:r w:rsidRPr="00B2143A">
                                <w:rPr>
                                  <w:b/>
                                </w:rPr>
                                <w:t>3</w:t>
                              </w:r>
                            </w:p>
                          </w:txbxContent>
                        </v:textbox>
                      </v:shape>
                      <v:shape id="Arrow: Chevron 41" o:spid="_x0000_s1037" type="#_x0000_t55" style="position:absolute;left:-1080;top:1619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adj="14400" fillcolor="#3f0731" strokecolor="#3f0731" strokeweight="1pt">
                        <v:textbox style="layout-flow:vertical;mso-layout-flow-alt:bottom-to-top" inset="0,0,0,0">
                          <w:txbxContent>
                            <w:p w14:paraId="79053043" w14:textId="77777777" w:rsidR="00370AF0" w:rsidRPr="00B2143A" w:rsidRDefault="00370AF0" w:rsidP="00370AF0">
                              <w:pPr>
                                <w:jc w:val="center"/>
                                <w:rPr>
                                  <w:b/>
                                </w:rPr>
                              </w:pPr>
                              <w:r w:rsidRPr="00B2143A">
                                <w:rPr>
                                  <w:b/>
                                </w:rPr>
                                <w:t>4</w:t>
                              </w:r>
                            </w:p>
                          </w:txbxContent>
                        </v:textbox>
                      </v:shape>
                      <v:shape id="Arrow: Chevron 42" o:spid="_x0000_s1038" type="#_x0000_t55" style="position:absolute;left:-1080;top:2127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adj="14400" fillcolor="#3f0731" strokecolor="#3f0731" strokeweight="1pt">
                        <v:textbox style="layout-flow:vertical;mso-layout-flow-alt:bottom-to-top" inset="0,0,0,0">
                          <w:txbxContent>
                            <w:p w14:paraId="0908C674" w14:textId="77777777" w:rsidR="00370AF0" w:rsidRPr="00B2143A" w:rsidRDefault="00370AF0" w:rsidP="00370AF0">
                              <w:pPr>
                                <w:jc w:val="center"/>
                                <w:rPr>
                                  <w:b/>
                                </w:rPr>
                              </w:pPr>
                              <w:r w:rsidRPr="00B2143A">
                                <w:rPr>
                                  <w:b/>
                                </w:rPr>
                                <w:t>5</w:t>
                              </w:r>
                            </w:p>
                          </w:txbxContent>
                        </v:textbox>
                      </v:shape>
                      <v:shape id="Arrow: Chevron 43" o:spid="_x0000_s1039" type="#_x0000_t55" style="position:absolute;left:-1080;top:26289;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adj="14400" fillcolor="#3f0731" strokecolor="#3f0731" strokeweight="1pt">
                        <v:textbox style="layout-flow:vertical;mso-layout-flow-alt:bottom-to-top" inset="0,0,0,0">
                          <w:txbxContent>
                            <w:p w14:paraId="39D12418" w14:textId="77777777" w:rsidR="00370AF0" w:rsidRPr="00B2143A" w:rsidRDefault="00370AF0" w:rsidP="00370AF0">
                              <w:pPr>
                                <w:jc w:val="center"/>
                                <w:rPr>
                                  <w:b/>
                                </w:rPr>
                              </w:pPr>
                              <w:r w:rsidRPr="00B2143A">
                                <w:rPr>
                                  <w:b/>
                                </w:rPr>
                                <w:t>6</w:t>
                              </w:r>
                            </w:p>
                          </w:txbxContent>
                        </v:textbox>
                      </v:shape>
                      <v:shape id="Arrow: Chevron 44" o:spid="_x0000_s1040" type="#_x0000_t55" style="position:absolute;left:-1080;top:31370;width:6477;height:431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" adj="14400" fillcolor="#3f0731" strokecolor="#3f0731" strokeweight="1pt">
                        <v:textbox style="layout-flow:vertical;mso-layout-flow-alt:bottom-to-top" inset="0,0,0,0">
                          <w:txbxContent>
                            <w:p w14:paraId="0A2449E0" w14:textId="77777777" w:rsidR="00370AF0" w:rsidRPr="00B2143A" w:rsidRDefault="00370AF0" w:rsidP="00370AF0">
                              <w:pPr>
                                <w:jc w:val="center"/>
                                <w:rPr>
                                  <w:b/>
                                </w:rPr>
                              </w:pPr>
                              <w:r w:rsidRPr="00B2143A">
                                <w:rPr>
                                  <w:b/>
                                </w:rPr>
                                <w:t>7</w:t>
                              </w:r>
                            </w:p>
                          </w:txbxContent>
                        </v:textbox>
                      </v:shape>
                    </v:group>
                  </w:pict>
                </mc:Fallback>
              </mc:AlternateContent>
            </w:r>
            <w:r w:rsidR="00CA0621" w:rsidRPr="00DE2E99">
              <w:rPr>
                <w:rFonts w:ascii="Poppins" w:hAnsi="Poppins" w:cs="Poppins"/>
                <w:b/>
              </w:rPr>
              <w:t xml:space="preserve">                     </w:t>
            </w:r>
          </w:p>
        </w:tc>
      </w:tr>
      <w:tr w:rsidR="00CA0621" w:rsidRPr="00DE2E99" w14:paraId="6DABEBB0" w14:textId="77777777" w:rsidTr="0017061D">
        <w:trPr>
          <w:trHeight w:val="792"/>
          <w:jc w:val="center"/>
        </w:trPr>
        <w:tc>
          <w:tcPr>
            <w:tcW w:w="9639" w:type="dxa"/>
            <w:gridSpan w:val="4"/>
          </w:tcPr>
          <w:p w14:paraId="7505D3C5" w14:textId="2758243B" w:rsidR="00CA0621" w:rsidRPr="00D85BBE" w:rsidRDefault="00CA0621" w:rsidP="0017061D">
            <w:pPr>
              <w:pStyle w:val="BodyText2"/>
              <w:spacing w:after="0" w:line="240" w:lineRule="auto"/>
              <w:rPr>
                <w:rStyle w:val="Hyperlink"/>
                <w:rFonts w:ascii="Poppins" w:eastAsiaTheme="majorEastAsia" w:hAnsi="Poppins" w:cs="Poppins"/>
                <w:noProof/>
                <w:sz w:val="20"/>
                <w:szCs w:val="20"/>
              </w:rPr>
            </w:pPr>
            <w:r w:rsidRPr="008C73A6">
              <w:rPr>
                <w:rFonts w:ascii="Poppins" w:hAnsi="Poppins" w:cs="Poppins"/>
                <w:b/>
                <w:noProof/>
                <w:sz w:val="20"/>
                <w:szCs w:val="20"/>
              </w:rPr>
              <w:t xml:space="preserve">Have </w:t>
            </w:r>
            <w:r w:rsidR="00D85BBE" w:rsidRPr="00D85BBE">
              <w:rPr>
                <w:rFonts w:ascii="Poppins" w:hAnsi="Poppins" w:cs="Poppins"/>
                <w:b/>
                <w:noProof/>
                <w:sz w:val="20"/>
                <w:szCs w:val="20"/>
                <w:highlight w:val="yellow"/>
              </w:rPr>
              <w:t>X</w:t>
            </w:r>
            <w:r w:rsidRPr="00D85BBE">
              <w:rPr>
                <w:rFonts w:ascii="Poppins" w:hAnsi="Poppins" w:cs="Poppins"/>
                <w:b/>
                <w:noProof/>
                <w:sz w:val="20"/>
                <w:szCs w:val="20"/>
              </w:rPr>
              <w:t xml:space="preserve"> minutes?</w:t>
            </w:r>
            <w:r w:rsidRPr="00D85BBE">
              <w:rPr>
                <w:rFonts w:ascii="Poppins" w:hAnsi="Poppins" w:cs="Poppins"/>
                <w:noProof/>
                <w:sz w:val="20"/>
                <w:szCs w:val="20"/>
              </w:rPr>
              <w:t xml:space="preserve">  Read our </w:t>
            </w:r>
            <w:hyperlink w:anchor="_Executive_summary_1" w:history="1">
              <w:r w:rsidRPr="00D85BBE">
                <w:rPr>
                  <w:rStyle w:val="Hyperlink"/>
                  <w:rFonts w:ascii="Poppins" w:eastAsiaTheme="majorEastAsia" w:hAnsi="Poppins" w:cs="Poppins"/>
                  <w:noProof/>
                  <w:sz w:val="20"/>
                  <w:szCs w:val="20"/>
                </w:rPr>
                <w:t>Executive summary</w:t>
              </w:r>
            </w:hyperlink>
          </w:p>
          <w:p w14:paraId="7B9A135D" w14:textId="2B5665E5" w:rsidR="00CA0621" w:rsidRPr="00D85BBE" w:rsidRDefault="00CA0621" w:rsidP="0017061D">
            <w:pPr>
              <w:pStyle w:val="BodyText2"/>
              <w:spacing w:after="0" w:line="240" w:lineRule="auto"/>
              <w:rPr>
                <w:rStyle w:val="Hyperlink"/>
                <w:rFonts w:ascii="Poppins" w:eastAsiaTheme="majorEastAsia" w:hAnsi="Poppins" w:cs="Poppins"/>
                <w:sz w:val="20"/>
                <w:szCs w:val="20"/>
              </w:rPr>
            </w:pPr>
            <w:r w:rsidRPr="00D85BBE">
              <w:rPr>
                <w:rFonts w:ascii="Poppins" w:hAnsi="Poppins" w:cs="Poppins"/>
                <w:b/>
                <w:noProof/>
                <w:sz w:val="20"/>
                <w:szCs w:val="20"/>
              </w:rPr>
              <w:t xml:space="preserve">Have </w:t>
            </w:r>
            <w:r w:rsidR="00D85BBE" w:rsidRPr="00D85BBE">
              <w:rPr>
                <w:rFonts w:ascii="Poppins" w:hAnsi="Poppins" w:cs="Poppins"/>
                <w:b/>
                <w:noProof/>
                <w:sz w:val="20"/>
                <w:szCs w:val="20"/>
                <w:highlight w:val="yellow"/>
              </w:rPr>
              <w:t>X</w:t>
            </w:r>
            <w:r w:rsidRPr="00D85BBE">
              <w:rPr>
                <w:rFonts w:ascii="Poppins" w:hAnsi="Poppins" w:cs="Poppins"/>
                <w:b/>
                <w:noProof/>
                <w:sz w:val="20"/>
                <w:szCs w:val="20"/>
              </w:rPr>
              <w:t xml:space="preserve"> minutes?</w:t>
            </w:r>
            <w:r w:rsidRPr="00D85BBE">
              <w:rPr>
                <w:rFonts w:ascii="Poppins" w:hAnsi="Poppins" w:cs="Poppins"/>
                <w:noProof/>
                <w:sz w:val="20"/>
                <w:szCs w:val="20"/>
              </w:rPr>
              <w:t xml:space="preserve"> Read the full </w:t>
            </w:r>
            <w:hyperlink w:anchor="_Why_change?" w:history="1">
              <w:r w:rsidRPr="00D85BBE">
                <w:rPr>
                  <w:rStyle w:val="Hyperlink"/>
                  <w:rFonts w:ascii="Poppins" w:eastAsiaTheme="majorEastAsia" w:hAnsi="Poppins" w:cs="Poppins"/>
                  <w:sz w:val="20"/>
                  <w:szCs w:val="20"/>
                </w:rPr>
                <w:t xml:space="preserve">Workgroup </w:t>
              </w:r>
              <w:r w:rsidR="008E05C3" w:rsidRPr="00D85BBE">
                <w:rPr>
                  <w:rStyle w:val="Hyperlink"/>
                  <w:rFonts w:ascii="Poppins" w:eastAsiaTheme="majorEastAsia" w:hAnsi="Poppins" w:cs="Poppins"/>
                  <w:sz w:val="20"/>
                  <w:szCs w:val="20"/>
                </w:rPr>
                <w:t>Report</w:t>
              </w:r>
            </w:hyperlink>
          </w:p>
          <w:p w14:paraId="60E5DF14" w14:textId="75E19243" w:rsidR="00CA0621" w:rsidRPr="008C73A6" w:rsidRDefault="00CA0621" w:rsidP="0017061D">
            <w:pPr>
              <w:pStyle w:val="BodyText2"/>
              <w:spacing w:after="0" w:line="240" w:lineRule="auto"/>
              <w:rPr>
                <w:rFonts w:ascii="Poppins" w:hAnsi="Poppins" w:cs="Poppins"/>
                <w:b/>
                <w:sz w:val="20"/>
                <w:szCs w:val="20"/>
              </w:rPr>
            </w:pPr>
            <w:r w:rsidRPr="00D85BBE">
              <w:rPr>
                <w:rFonts w:ascii="Poppins" w:hAnsi="Poppins" w:cs="Poppins"/>
                <w:b/>
                <w:bCs/>
                <w:sz w:val="20"/>
                <w:szCs w:val="20"/>
              </w:rPr>
              <w:t xml:space="preserve">Have </w:t>
            </w:r>
            <w:r w:rsidR="00D85BBE" w:rsidRPr="00D85BBE">
              <w:rPr>
                <w:rFonts w:ascii="Poppins" w:hAnsi="Poppins" w:cs="Poppins"/>
                <w:b/>
                <w:bCs/>
                <w:sz w:val="20"/>
                <w:szCs w:val="20"/>
                <w:highlight w:val="yellow"/>
              </w:rPr>
              <w:t>X</w:t>
            </w:r>
            <w:r w:rsidRPr="00D85BBE">
              <w:rPr>
                <w:rFonts w:ascii="Poppins" w:hAnsi="Poppins" w:cs="Poppins"/>
                <w:b/>
                <w:bCs/>
                <w:sz w:val="20"/>
                <w:szCs w:val="20"/>
              </w:rPr>
              <w:t xml:space="preserve"> minutes?</w:t>
            </w:r>
            <w:r w:rsidRPr="00D85BBE">
              <w:rPr>
                <w:rFonts w:ascii="Poppins" w:hAnsi="Poppins" w:cs="Poppins"/>
                <w:bCs/>
                <w:sz w:val="20"/>
                <w:szCs w:val="20"/>
              </w:rPr>
              <w:t xml:space="preserve"> Read</w:t>
            </w:r>
            <w:r w:rsidRPr="008C73A6">
              <w:rPr>
                <w:rFonts w:ascii="Poppins" w:hAnsi="Poppins" w:cs="Poppins"/>
                <w:bCs/>
                <w:sz w:val="20"/>
                <w:szCs w:val="20"/>
              </w:rPr>
              <w:t xml:space="preserve"> the full Workgroup </w:t>
            </w:r>
            <w:r w:rsidR="008E05C3" w:rsidRPr="008C73A6">
              <w:rPr>
                <w:rFonts w:ascii="Poppins" w:hAnsi="Poppins" w:cs="Poppins"/>
                <w:bCs/>
                <w:sz w:val="20"/>
                <w:szCs w:val="20"/>
              </w:rPr>
              <w:t xml:space="preserve">Report </w:t>
            </w:r>
            <w:r w:rsidRPr="008C73A6">
              <w:rPr>
                <w:rFonts w:ascii="Poppins" w:hAnsi="Poppins" w:cs="Poppins"/>
                <w:bCs/>
                <w:sz w:val="20"/>
                <w:szCs w:val="20"/>
              </w:rPr>
              <w:t>and Annexes.</w:t>
            </w:r>
          </w:p>
        </w:tc>
      </w:tr>
      <w:tr w:rsidR="00CA0621" w:rsidRPr="00DE2E99" w14:paraId="2B9F567B" w14:textId="77777777" w:rsidTr="0017061D">
        <w:trPr>
          <w:trHeight w:val="585"/>
          <w:jc w:val="center"/>
        </w:trPr>
        <w:tc>
          <w:tcPr>
            <w:tcW w:w="9639" w:type="dxa"/>
            <w:gridSpan w:val="4"/>
          </w:tcPr>
          <w:p w14:paraId="777DAE94" w14:textId="72124FCC" w:rsidR="00CA0621" w:rsidRPr="008C73A6" w:rsidRDefault="00CA0621" w:rsidP="0017061D">
            <w:pPr>
              <w:spacing w:after="0" w:line="240" w:lineRule="auto"/>
              <w:rPr>
                <w:rFonts w:ascii="Poppins" w:hAnsi="Poppins" w:cs="Poppins"/>
                <w:sz w:val="20"/>
                <w:szCs w:val="20"/>
              </w:rPr>
            </w:pPr>
            <w:r w:rsidRPr="008C73A6">
              <w:rPr>
                <w:rFonts w:ascii="Poppins" w:hAnsi="Poppins" w:cs="Poppins"/>
                <w:b/>
                <w:sz w:val="20"/>
                <w:szCs w:val="20"/>
              </w:rPr>
              <w:t>Status summary:</w:t>
            </w:r>
            <w:r w:rsidRPr="008C73A6">
              <w:rPr>
                <w:rFonts w:ascii="Poppins" w:hAnsi="Poppins" w:cs="Poppins"/>
                <w:sz w:val="20"/>
                <w:szCs w:val="20"/>
              </w:rPr>
              <w:t xml:space="preserve"> </w:t>
            </w:r>
            <w:r w:rsidR="00916140" w:rsidRPr="008C73A6">
              <w:rPr>
                <w:rFonts w:ascii="Poppins" w:hAnsi="Poppins" w:cs="Poppins"/>
                <w:sz w:val="20"/>
                <w:szCs w:val="20"/>
              </w:rPr>
              <w:t xml:space="preserve">The Workgroup have finalised the </w:t>
            </w:r>
            <w:r w:rsidR="003C0B04">
              <w:rPr>
                <w:rFonts w:ascii="Poppins" w:hAnsi="Poppins" w:cs="Poppins"/>
                <w:sz w:val="20"/>
                <w:szCs w:val="20"/>
              </w:rPr>
              <w:t>P</w:t>
            </w:r>
            <w:r w:rsidR="00916140" w:rsidRPr="008C73A6">
              <w:rPr>
                <w:rFonts w:ascii="Poppins" w:hAnsi="Poppins" w:cs="Poppins"/>
                <w:sz w:val="20"/>
                <w:szCs w:val="20"/>
              </w:rPr>
              <w:t xml:space="preserve">roposer’s solution </w:t>
            </w:r>
            <w:r w:rsidR="006652ED">
              <w:rPr>
                <w:rFonts w:ascii="Poppins" w:hAnsi="Poppins" w:cs="Poppins"/>
                <w:sz w:val="20"/>
                <w:szCs w:val="20"/>
              </w:rPr>
              <w:t>and</w:t>
            </w:r>
            <w:r w:rsidR="00916140" w:rsidRPr="008C73A6">
              <w:rPr>
                <w:rFonts w:ascii="Poppins" w:hAnsi="Poppins" w:cs="Poppins"/>
                <w:sz w:val="20"/>
                <w:szCs w:val="20"/>
              </w:rPr>
              <w:t xml:space="preserve"> </w:t>
            </w:r>
            <w:r w:rsidR="00916140" w:rsidRPr="00E209D2">
              <w:rPr>
                <w:rFonts w:ascii="Poppins" w:hAnsi="Poppins" w:cs="Poppins"/>
                <w:sz w:val="20"/>
                <w:szCs w:val="20"/>
                <w:highlight w:val="yellow"/>
              </w:rPr>
              <w:t>X alternative solution</w:t>
            </w:r>
            <w:r w:rsidR="006652ED" w:rsidRPr="00E209D2">
              <w:rPr>
                <w:rFonts w:ascii="Poppins" w:hAnsi="Poppins" w:cs="Poppins"/>
                <w:sz w:val="20"/>
                <w:szCs w:val="20"/>
                <w:highlight w:val="yellow"/>
              </w:rPr>
              <w:t>(</w:t>
            </w:r>
            <w:r w:rsidR="00916140" w:rsidRPr="00E209D2">
              <w:rPr>
                <w:rFonts w:ascii="Poppins" w:hAnsi="Poppins" w:cs="Poppins"/>
                <w:sz w:val="20"/>
                <w:szCs w:val="20"/>
                <w:highlight w:val="yellow"/>
              </w:rPr>
              <w:t>s</w:t>
            </w:r>
            <w:r w:rsidR="006652ED" w:rsidRPr="00E209D2">
              <w:rPr>
                <w:rFonts w:ascii="Poppins" w:hAnsi="Poppins" w:cs="Poppins"/>
                <w:sz w:val="20"/>
                <w:szCs w:val="20"/>
                <w:highlight w:val="yellow"/>
              </w:rPr>
              <w:t>)</w:t>
            </w:r>
            <w:r w:rsidR="00916140" w:rsidRPr="00E209D2">
              <w:rPr>
                <w:rFonts w:ascii="Poppins" w:hAnsi="Poppins" w:cs="Poppins"/>
                <w:sz w:val="20"/>
                <w:szCs w:val="20"/>
                <w:highlight w:val="yellow"/>
              </w:rPr>
              <w:t>.</w:t>
            </w:r>
            <w:r w:rsidR="00916140" w:rsidRPr="008C73A6">
              <w:rPr>
                <w:rFonts w:ascii="Poppins" w:hAnsi="Poppins" w:cs="Poppins"/>
                <w:sz w:val="20"/>
                <w:szCs w:val="20"/>
              </w:rPr>
              <w:t xml:space="preserve"> They are now seeking approval from the Panel that the Workgroup have met their Terms of Reference and can proceed to Code Administrator Consultation</w:t>
            </w:r>
            <w:r w:rsidRPr="008C73A6">
              <w:rPr>
                <w:rFonts w:ascii="Poppins" w:hAnsi="Poppins" w:cs="Poppins"/>
                <w:sz w:val="20"/>
                <w:szCs w:val="20"/>
              </w:rPr>
              <w:t xml:space="preserve">. </w:t>
            </w:r>
          </w:p>
        </w:tc>
      </w:tr>
      <w:tr w:rsidR="00CA0621" w:rsidRPr="00DE2E99" w14:paraId="27508E25" w14:textId="77777777" w:rsidTr="0017061D">
        <w:trPr>
          <w:trHeight w:val="395"/>
          <w:jc w:val="center"/>
        </w:trPr>
        <w:tc>
          <w:tcPr>
            <w:tcW w:w="9639" w:type="dxa"/>
            <w:gridSpan w:val="4"/>
            <w:shd w:val="clear" w:color="auto" w:fill="FFFFFF" w:themeFill="background1"/>
          </w:tcPr>
          <w:p w14:paraId="1AC58A1F" w14:textId="6B2E31DE" w:rsidR="00CA0621" w:rsidRPr="008C73A6" w:rsidRDefault="00CA0621" w:rsidP="00827799">
            <w:pPr>
              <w:spacing w:after="0" w:line="240" w:lineRule="auto"/>
              <w:rPr>
                <w:rFonts w:ascii="Poppins" w:hAnsi="Poppins" w:cs="Poppins"/>
                <w:b/>
                <w:color w:val="00B050"/>
                <w:sz w:val="20"/>
                <w:szCs w:val="20"/>
              </w:rPr>
            </w:pPr>
            <w:r w:rsidRPr="008C73A6">
              <w:rPr>
                <w:rFonts w:ascii="Poppins" w:hAnsi="Poppins" w:cs="Poppins"/>
                <w:b/>
                <w:sz w:val="20"/>
                <w:szCs w:val="20"/>
              </w:rPr>
              <w:t>This modification is expected to have a:</w:t>
            </w:r>
            <w:r w:rsidR="0062254B" w:rsidRPr="0062254B">
              <w:rPr>
                <w:rFonts w:ascii="Poppins" w:hAnsi="Poppins" w:cs="Poppins"/>
                <w:bCs/>
                <w:color w:val="000000" w:themeColor="text1"/>
                <w:sz w:val="20"/>
                <w:szCs w:val="20"/>
              </w:rPr>
              <w:t xml:space="preserve"> </w:t>
            </w:r>
            <w:r w:rsidR="00827799" w:rsidRPr="00827799">
              <w:rPr>
                <w:rFonts w:ascii="Poppins" w:hAnsi="Poppins" w:cs="Poppins"/>
                <w:b/>
                <w:color w:val="000000" w:themeColor="text1"/>
                <w:sz w:val="20"/>
                <w:szCs w:val="20"/>
              </w:rPr>
              <w:t>High impact</w:t>
            </w:r>
            <w:r w:rsidR="00827799" w:rsidRPr="00827799">
              <w:rPr>
                <w:rFonts w:ascii="Poppins" w:hAnsi="Poppins" w:cs="Poppins"/>
                <w:bCs/>
                <w:color w:val="000000" w:themeColor="text1"/>
                <w:sz w:val="20"/>
                <w:szCs w:val="20"/>
              </w:rPr>
              <w:t xml:space="preserve"> </w:t>
            </w:r>
            <w:r w:rsidR="00827799">
              <w:rPr>
                <w:rFonts w:ascii="Poppins" w:hAnsi="Poppins" w:cs="Poppins"/>
                <w:bCs/>
                <w:color w:val="000000" w:themeColor="text1"/>
                <w:sz w:val="20"/>
                <w:szCs w:val="20"/>
              </w:rPr>
              <w:t xml:space="preserve">on </w:t>
            </w:r>
            <w:r w:rsidR="00827799" w:rsidRPr="00827799">
              <w:rPr>
                <w:rFonts w:ascii="Poppins" w:hAnsi="Poppins" w:cs="Poppins"/>
                <w:bCs/>
                <w:color w:val="000000" w:themeColor="text1"/>
                <w:sz w:val="20"/>
                <w:szCs w:val="20"/>
              </w:rPr>
              <w:t xml:space="preserve">Transmission Owners, Distribution Network Owners, Generators, Demand Customers, </w:t>
            </w:r>
            <w:r w:rsidR="00827799">
              <w:rPr>
                <w:rFonts w:ascii="Poppins" w:hAnsi="Poppins" w:cs="Poppins"/>
                <w:bCs/>
                <w:color w:val="000000" w:themeColor="text1"/>
                <w:sz w:val="20"/>
                <w:szCs w:val="20"/>
              </w:rPr>
              <w:t xml:space="preserve">and </w:t>
            </w:r>
            <w:r w:rsidR="00827799" w:rsidRPr="00827799">
              <w:rPr>
                <w:rFonts w:ascii="Poppins" w:hAnsi="Poppins" w:cs="Poppins"/>
                <w:bCs/>
                <w:color w:val="000000" w:themeColor="text1"/>
                <w:sz w:val="20"/>
                <w:szCs w:val="20"/>
              </w:rPr>
              <w:t>Transmission System Operators</w:t>
            </w:r>
          </w:p>
        </w:tc>
      </w:tr>
      <w:tr w:rsidR="00CA0621" w:rsidRPr="00DE2E99" w14:paraId="05EEF29F" w14:textId="77777777" w:rsidTr="0017061D">
        <w:trPr>
          <w:trHeight w:val="388"/>
          <w:jc w:val="center"/>
        </w:trPr>
        <w:tc>
          <w:tcPr>
            <w:tcW w:w="2268" w:type="dxa"/>
            <w:shd w:val="clear" w:color="auto" w:fill="FFFFFF" w:themeFill="background1"/>
          </w:tcPr>
          <w:p w14:paraId="569F6DCF" w14:textId="77777777" w:rsidR="00CA0621" w:rsidRPr="008C73A6" w:rsidRDefault="00CA0621" w:rsidP="0017061D">
            <w:pPr>
              <w:spacing w:after="0"/>
              <w:ind w:firstLine="9"/>
              <w:rPr>
                <w:rFonts w:ascii="Poppins" w:hAnsi="Poppins" w:cs="Poppins"/>
                <w:b/>
                <w:noProof/>
                <w:sz w:val="20"/>
                <w:szCs w:val="20"/>
                <w:lang w:val="en-US"/>
              </w:rPr>
            </w:pPr>
            <w:r w:rsidRPr="008C73A6">
              <w:rPr>
                <w:rFonts w:ascii="Poppins" w:hAnsi="Poppins" w:cs="Poppins"/>
                <w:b/>
                <w:noProof/>
                <w:sz w:val="20"/>
                <w:szCs w:val="20"/>
                <w:lang w:val="en-US"/>
              </w:rPr>
              <w:t>Governance route</w:t>
            </w:r>
          </w:p>
        </w:tc>
        <w:tc>
          <w:tcPr>
            <w:tcW w:w="7371" w:type="dxa"/>
            <w:gridSpan w:val="3"/>
          </w:tcPr>
          <w:p w14:paraId="3D4472A5" w14:textId="14544A3A" w:rsidR="00CA0621" w:rsidRPr="008C73A6" w:rsidRDefault="00244813" w:rsidP="0017061D">
            <w:pPr>
              <w:spacing w:after="0" w:line="240" w:lineRule="auto"/>
              <w:rPr>
                <w:rFonts w:ascii="Poppins" w:hAnsi="Poppins" w:cs="Poppins"/>
                <w:color w:val="7030A0"/>
                <w:sz w:val="20"/>
                <w:szCs w:val="20"/>
              </w:rPr>
            </w:pPr>
            <w:r w:rsidRPr="00244813">
              <w:rPr>
                <w:rFonts w:ascii="Poppins" w:hAnsi="Poppins" w:cs="Poppins"/>
                <w:color w:val="000000" w:themeColor="text1"/>
                <w:sz w:val="20"/>
                <w:szCs w:val="20"/>
              </w:rPr>
              <w:t>Standard Governance modification with assessment by a Workgroup</w:t>
            </w:r>
          </w:p>
        </w:tc>
      </w:tr>
      <w:tr w:rsidR="0049340B" w:rsidRPr="00DE2E99" w14:paraId="0066E192" w14:textId="77777777" w:rsidTr="0017061D">
        <w:trPr>
          <w:trHeight w:val="1302"/>
          <w:jc w:val="center"/>
        </w:trPr>
        <w:tc>
          <w:tcPr>
            <w:tcW w:w="2268" w:type="dxa"/>
            <w:shd w:val="clear" w:color="auto" w:fill="FFFFFF" w:themeFill="background1"/>
          </w:tcPr>
          <w:p w14:paraId="3ADE6699" w14:textId="77777777" w:rsidR="00BF03AE" w:rsidRPr="008C73A6" w:rsidRDefault="00BF03AE" w:rsidP="0017061D">
            <w:pPr>
              <w:spacing w:after="0"/>
              <w:rPr>
                <w:rFonts w:ascii="Poppins" w:hAnsi="Poppins" w:cs="Poppins"/>
                <w:b/>
                <w:sz w:val="20"/>
                <w:szCs w:val="20"/>
              </w:rPr>
            </w:pPr>
            <w:r w:rsidRPr="008C73A6">
              <w:rPr>
                <w:rFonts w:ascii="Poppins" w:hAnsi="Poppins" w:cs="Poppins"/>
                <w:b/>
                <w:sz w:val="20"/>
                <w:szCs w:val="20"/>
              </w:rPr>
              <w:t>Who can I talk to about the change?</w:t>
            </w:r>
          </w:p>
          <w:p w14:paraId="0112D533" w14:textId="77777777" w:rsidR="0049340B" w:rsidRPr="008C73A6" w:rsidRDefault="0049340B" w:rsidP="0017061D">
            <w:pPr>
              <w:spacing w:after="0"/>
              <w:rPr>
                <w:rFonts w:ascii="Poppins" w:hAnsi="Poppins" w:cs="Poppins"/>
                <w:sz w:val="20"/>
                <w:szCs w:val="20"/>
              </w:rPr>
            </w:pPr>
          </w:p>
        </w:tc>
        <w:tc>
          <w:tcPr>
            <w:tcW w:w="3832" w:type="dxa"/>
            <w:gridSpan w:val="2"/>
            <w:shd w:val="clear" w:color="auto" w:fill="FFFFFF" w:themeFill="background1"/>
          </w:tcPr>
          <w:p w14:paraId="71205CE0" w14:textId="77777777" w:rsidR="00D2546A" w:rsidRDefault="0049340B" w:rsidP="00D2546A">
            <w:pPr>
              <w:spacing w:after="0"/>
              <w:rPr>
                <w:rFonts w:ascii="Poppins" w:hAnsi="Poppins" w:cs="Poppins"/>
                <w:b/>
                <w:sz w:val="20"/>
                <w:szCs w:val="20"/>
              </w:rPr>
            </w:pPr>
            <w:r w:rsidRPr="008C73A6">
              <w:rPr>
                <w:rFonts w:ascii="Poppins" w:hAnsi="Poppins" w:cs="Poppins"/>
                <w:b/>
                <w:sz w:val="20"/>
                <w:szCs w:val="20"/>
              </w:rPr>
              <w:t xml:space="preserve">Proposer: </w:t>
            </w:r>
          </w:p>
          <w:p w14:paraId="139F83AE" w14:textId="77777777" w:rsidR="00EC30C1" w:rsidRDefault="00D2546A" w:rsidP="00D2546A">
            <w:pPr>
              <w:spacing w:after="0"/>
              <w:rPr>
                <w:rFonts w:ascii="Times New Roman" w:hAnsi="Times New Roman" w:cs="Times New Roman"/>
                <w:kern w:val="0"/>
                <w:sz w:val="20"/>
                <w:szCs w:val="20"/>
                <w14:ligatures w14:val="none"/>
              </w:rPr>
            </w:pPr>
            <w:r w:rsidRPr="00F44DE4">
              <w:rPr>
                <w:rFonts w:ascii="Poppins" w:hAnsi="Poppins" w:cs="Poppins"/>
                <w:kern w:val="0"/>
                <w:sz w:val="20"/>
                <w:szCs w:val="20"/>
                <w14:ligatures w14:val="none"/>
              </w:rPr>
              <w:t>Joe Colebrook</w:t>
            </w:r>
            <w:r w:rsidRPr="00F44DE4">
              <w:rPr>
                <w:rFonts w:ascii="Times New Roman" w:hAnsi="Times New Roman" w:cs="Times New Roman"/>
                <w:kern w:val="0"/>
                <w:sz w:val="20"/>
                <w:szCs w:val="20"/>
                <w14:ligatures w14:val="none"/>
              </w:rPr>
              <w:t>​</w:t>
            </w:r>
            <w:r w:rsidRPr="00F44DE4">
              <w:rPr>
                <w:rFonts w:ascii="Poppins" w:hAnsi="Poppins" w:cs="Poppins"/>
                <w:kern w:val="0"/>
                <w:sz w:val="20"/>
                <w:szCs w:val="20"/>
                <w14:ligatures w14:val="none"/>
              </w:rPr>
              <w:t> </w:t>
            </w:r>
            <w:r w:rsidRPr="00F44DE4">
              <w:rPr>
                <w:rFonts w:ascii="Times New Roman" w:hAnsi="Times New Roman" w:cs="Times New Roman"/>
                <w:kern w:val="0"/>
                <w:sz w:val="20"/>
                <w:szCs w:val="20"/>
                <w14:ligatures w14:val="none"/>
              </w:rPr>
              <w:t>​​</w:t>
            </w:r>
          </w:p>
          <w:p w14:paraId="4A89C24B" w14:textId="58DF8FE1" w:rsidR="00AE381C" w:rsidRPr="008C73A6" w:rsidRDefault="00D2546A" w:rsidP="00D2546A">
            <w:pPr>
              <w:spacing w:after="0"/>
              <w:rPr>
                <w:rFonts w:ascii="Poppins" w:hAnsi="Poppins" w:cs="Poppins"/>
                <w:sz w:val="20"/>
                <w:szCs w:val="20"/>
              </w:rPr>
            </w:pPr>
            <w:r w:rsidRPr="00F44DE4">
              <w:rPr>
                <w:rFonts w:ascii="Poppins" w:hAnsi="Poppins" w:cs="Poppins"/>
                <w:kern w:val="0"/>
                <w:sz w:val="20"/>
                <w:szCs w:val="20"/>
                <w:u w:val="single"/>
                <w14:ligatures w14:val="none"/>
              </w:rPr>
              <w:t>Joe@innova.co.uk</w:t>
            </w:r>
            <w:r w:rsidRPr="00F44DE4">
              <w:rPr>
                <w:rFonts w:ascii="Times New Roman" w:hAnsi="Times New Roman" w:cs="Times New Roman"/>
                <w:kern w:val="0"/>
                <w:sz w:val="20"/>
                <w:szCs w:val="20"/>
                <w:u w:val="single"/>
                <w14:ligatures w14:val="none"/>
              </w:rPr>
              <w:t>​</w:t>
            </w:r>
            <w:r w:rsidRPr="00F44DE4">
              <w:rPr>
                <w:rFonts w:ascii="Poppins" w:hAnsi="Poppins" w:cs="Poppins"/>
                <w:kern w:val="0"/>
                <w:sz w:val="20"/>
                <w:szCs w:val="20"/>
                <w14:ligatures w14:val="none"/>
              </w:rPr>
              <w:t xml:space="preserve">  </w:t>
            </w:r>
          </w:p>
        </w:tc>
        <w:tc>
          <w:tcPr>
            <w:tcW w:w="3539" w:type="dxa"/>
            <w:shd w:val="clear" w:color="auto" w:fill="FFFFFF" w:themeFill="background1"/>
          </w:tcPr>
          <w:p w14:paraId="548DD883" w14:textId="77777777" w:rsidR="0049340B" w:rsidRDefault="0049340B" w:rsidP="0017061D">
            <w:pPr>
              <w:spacing w:after="0"/>
              <w:rPr>
                <w:rFonts w:ascii="Poppins" w:hAnsi="Poppins" w:cs="Poppins"/>
                <w:color w:val="00B050"/>
                <w:sz w:val="20"/>
                <w:szCs w:val="20"/>
              </w:rPr>
            </w:pPr>
            <w:r w:rsidRPr="008C73A6">
              <w:rPr>
                <w:rFonts w:ascii="Poppins" w:hAnsi="Poppins" w:cs="Poppins"/>
                <w:b/>
                <w:sz w:val="20"/>
                <w:szCs w:val="20"/>
              </w:rPr>
              <w:t>Code Administrator</w:t>
            </w:r>
            <w:r w:rsidRPr="008C73A6">
              <w:rPr>
                <w:rFonts w:ascii="Poppins" w:hAnsi="Poppins" w:cs="Poppins"/>
                <w:sz w:val="20"/>
                <w:szCs w:val="20"/>
              </w:rPr>
              <w:t xml:space="preserve"> </w:t>
            </w:r>
            <w:r w:rsidRPr="008C73A6">
              <w:rPr>
                <w:rFonts w:ascii="Poppins" w:hAnsi="Poppins" w:cs="Poppins"/>
                <w:b/>
                <w:sz w:val="20"/>
                <w:szCs w:val="20"/>
              </w:rPr>
              <w:t>Chair</w:t>
            </w:r>
            <w:r w:rsidRPr="008C73A6">
              <w:rPr>
                <w:rFonts w:ascii="Poppins" w:hAnsi="Poppins" w:cs="Poppins"/>
                <w:sz w:val="20"/>
                <w:szCs w:val="20"/>
              </w:rPr>
              <w:t xml:space="preserve">: </w:t>
            </w:r>
          </w:p>
          <w:p w14:paraId="40D8FC0D" w14:textId="77777777" w:rsidR="00AE381C" w:rsidRDefault="00EC30C1" w:rsidP="0017061D">
            <w:pPr>
              <w:spacing w:after="0"/>
              <w:rPr>
                <w:rFonts w:ascii="Poppins" w:hAnsi="Poppins" w:cs="Poppins"/>
                <w:sz w:val="20"/>
                <w:szCs w:val="20"/>
              </w:rPr>
            </w:pPr>
            <w:r>
              <w:rPr>
                <w:rFonts w:ascii="Poppins" w:hAnsi="Poppins" w:cs="Poppins"/>
                <w:sz w:val="20"/>
                <w:szCs w:val="20"/>
              </w:rPr>
              <w:t>Matthew Larreta</w:t>
            </w:r>
          </w:p>
          <w:p w14:paraId="21EF9D01" w14:textId="1E194275" w:rsidR="00EC30C1" w:rsidRPr="008C73A6" w:rsidRDefault="00EC30C1" w:rsidP="0017061D">
            <w:pPr>
              <w:spacing w:after="0"/>
              <w:rPr>
                <w:rFonts w:ascii="Poppins" w:hAnsi="Poppins" w:cs="Poppins"/>
                <w:sz w:val="20"/>
                <w:szCs w:val="20"/>
              </w:rPr>
            </w:pPr>
            <w:hyperlink r:id="rId11" w:history="1">
              <w:r w:rsidRPr="00E20184">
                <w:rPr>
                  <w:rStyle w:val="Hyperlink"/>
                  <w:rFonts w:ascii="Poppins" w:hAnsi="Poppins" w:cs="Poppins"/>
                  <w:sz w:val="20"/>
                  <w:szCs w:val="20"/>
                </w:rPr>
                <w:t>matthew.larreta1@neso.energy</w:t>
              </w:r>
            </w:hyperlink>
            <w:r>
              <w:rPr>
                <w:rFonts w:ascii="Poppins" w:hAnsi="Poppins" w:cs="Poppins"/>
                <w:sz w:val="20"/>
                <w:szCs w:val="20"/>
              </w:rPr>
              <w:t xml:space="preserve"> </w:t>
            </w:r>
          </w:p>
        </w:tc>
      </w:tr>
    </w:tbl>
    <w:p w14:paraId="3AD15A8B" w14:textId="0FB7C504" w:rsidR="00CA0621" w:rsidRDefault="00CA0621" w:rsidP="00CA0621">
      <w:pPr>
        <w:rPr>
          <w:rFonts w:ascii="Poppins" w:hAnsi="Poppins" w:cs="Poppins"/>
          <w:b/>
        </w:rPr>
      </w:pPr>
    </w:p>
    <w:p w14:paraId="73C7CD60" w14:textId="77777777" w:rsidR="00D85BBE" w:rsidRPr="009217A4" w:rsidRDefault="00D85BBE" w:rsidP="00CA0621">
      <w:pPr>
        <w:rPr>
          <w:rFonts w:ascii="Poppins" w:hAnsi="Poppins" w:cs="Poppins"/>
          <w:b/>
        </w:rPr>
      </w:pPr>
    </w:p>
    <w:p w14:paraId="5971112D" w14:textId="4F0F6A49" w:rsidR="00CA0621" w:rsidRPr="003B6022" w:rsidRDefault="00CA0621" w:rsidP="00CA0621">
      <w:pPr>
        <w:rPr>
          <w:rFonts w:ascii="Poppins" w:hAnsi="Poppins" w:cs="Poppins"/>
          <w:b/>
          <w:bCs/>
          <w:color w:val="3F0731"/>
          <w:sz w:val="32"/>
          <w:szCs w:val="32"/>
          <w:highlight w:val="yellow"/>
        </w:rPr>
      </w:pPr>
      <w:commentRangeStart w:id="0"/>
      <w:r w:rsidRPr="003B6022">
        <w:rPr>
          <w:rFonts w:ascii="Poppins" w:hAnsi="Poppins" w:cs="Poppins"/>
          <w:b/>
          <w:bCs/>
          <w:color w:val="3F0731"/>
          <w:sz w:val="32"/>
          <w:szCs w:val="32"/>
          <w:highlight w:val="yellow"/>
        </w:rPr>
        <w:lastRenderedPageBreak/>
        <w:t>Contents</w:t>
      </w:r>
      <w:commentRangeEnd w:id="0"/>
      <w:r w:rsidR="00CD2665">
        <w:rPr>
          <w:rStyle w:val="CommentReference"/>
        </w:rPr>
        <w:commentReference w:id="0"/>
      </w:r>
    </w:p>
    <w:p w14:paraId="1CD8F274" w14:textId="6C190CE4" w:rsidR="00B1500F" w:rsidRPr="003B6022" w:rsidRDefault="00CA0621">
      <w:pPr>
        <w:pStyle w:val="TOC1"/>
        <w:rPr>
          <w:rFonts w:eastAsiaTheme="minorEastAsia" w:cstheme="minorBidi"/>
          <w:color w:val="auto"/>
          <w:highlight w:val="yellow"/>
          <w:lang w:eastAsia="en-GB"/>
        </w:rPr>
      </w:pPr>
      <w:r w:rsidRPr="003B6022">
        <w:rPr>
          <w:rFonts w:ascii="Poppins" w:hAnsi="Poppins" w:cs="Poppins"/>
          <w:color w:val="FF00FF"/>
          <w:highlight w:val="yellow"/>
        </w:rPr>
        <w:fldChar w:fldCharType="begin"/>
      </w:r>
      <w:r w:rsidRPr="003B6022">
        <w:rPr>
          <w:rFonts w:ascii="Poppins" w:hAnsi="Poppins" w:cs="Poppins"/>
          <w:highlight w:val="yellow"/>
        </w:rPr>
        <w:instrText xml:space="preserve"> TOC \o "1-3" \h \z \u </w:instrText>
      </w:r>
      <w:r w:rsidRPr="003B6022">
        <w:rPr>
          <w:rFonts w:ascii="Poppins" w:hAnsi="Poppins" w:cs="Poppins"/>
          <w:color w:val="FF00FF"/>
          <w:highlight w:val="yellow"/>
        </w:rPr>
        <w:fldChar w:fldCharType="separate"/>
      </w:r>
      <w:hyperlink w:anchor="_Toc207608709" w:history="1">
        <w:r w:rsidR="00B1500F" w:rsidRPr="003B6022">
          <w:rPr>
            <w:rStyle w:val="Hyperlink"/>
            <w:rFonts w:ascii="Poppins" w:hAnsi="Poppins" w:cs="Poppins"/>
            <w:highlight w:val="yellow"/>
          </w:rPr>
          <w:t>Executive Summary</w:t>
        </w:r>
        <w:r w:rsidR="00B1500F" w:rsidRPr="003B6022">
          <w:rPr>
            <w:webHidden/>
            <w:highlight w:val="yellow"/>
          </w:rPr>
          <w:tab/>
        </w:r>
        <w:r w:rsidR="00B1500F" w:rsidRPr="003B6022">
          <w:rPr>
            <w:webHidden/>
            <w:highlight w:val="yellow"/>
          </w:rPr>
          <w:fldChar w:fldCharType="begin"/>
        </w:r>
        <w:r w:rsidR="00B1500F" w:rsidRPr="003B6022">
          <w:rPr>
            <w:webHidden/>
            <w:highlight w:val="yellow"/>
          </w:rPr>
          <w:instrText xml:space="preserve"> PAGEREF _Toc207608709 \h </w:instrText>
        </w:r>
        <w:r w:rsidR="00B1500F" w:rsidRPr="003B6022">
          <w:rPr>
            <w:webHidden/>
            <w:highlight w:val="yellow"/>
          </w:rPr>
        </w:r>
        <w:r w:rsidR="00B1500F" w:rsidRPr="003B6022">
          <w:rPr>
            <w:webHidden/>
            <w:highlight w:val="yellow"/>
          </w:rPr>
          <w:fldChar w:fldCharType="separate"/>
        </w:r>
        <w:r w:rsidR="00B1500F" w:rsidRPr="003B6022">
          <w:rPr>
            <w:webHidden/>
            <w:highlight w:val="yellow"/>
          </w:rPr>
          <w:t>4</w:t>
        </w:r>
        <w:r w:rsidR="00B1500F" w:rsidRPr="003B6022">
          <w:rPr>
            <w:webHidden/>
            <w:highlight w:val="yellow"/>
          </w:rPr>
          <w:fldChar w:fldCharType="end"/>
        </w:r>
      </w:hyperlink>
    </w:p>
    <w:p w14:paraId="49DA1A37" w14:textId="4AF1287C" w:rsidR="00B1500F" w:rsidRPr="003B6022" w:rsidRDefault="00B1500F">
      <w:pPr>
        <w:pStyle w:val="TOC1"/>
        <w:rPr>
          <w:rFonts w:eastAsiaTheme="minorEastAsia" w:cstheme="minorBidi"/>
          <w:color w:val="auto"/>
          <w:highlight w:val="yellow"/>
          <w:lang w:eastAsia="en-GB"/>
        </w:rPr>
      </w:pPr>
      <w:hyperlink w:anchor="_Toc207608710" w:history="1">
        <w:r w:rsidRPr="003B6022">
          <w:rPr>
            <w:rStyle w:val="Hyperlink"/>
            <w:rFonts w:ascii="Poppins" w:hAnsi="Poppins" w:cs="Poppins"/>
            <w:highlight w:val="yellow"/>
          </w:rPr>
          <w:t>What is the issue?</w:t>
        </w:r>
        <w:r w:rsidRPr="003B6022">
          <w:rPr>
            <w:webHidden/>
            <w:highlight w:val="yellow"/>
          </w:rPr>
          <w:tab/>
        </w:r>
        <w:r w:rsidRPr="003B6022">
          <w:rPr>
            <w:webHidden/>
            <w:highlight w:val="yellow"/>
          </w:rPr>
          <w:fldChar w:fldCharType="begin"/>
        </w:r>
        <w:r w:rsidRPr="003B6022">
          <w:rPr>
            <w:webHidden/>
            <w:highlight w:val="yellow"/>
          </w:rPr>
          <w:instrText xml:space="preserve"> PAGEREF _Toc207608710 \h </w:instrText>
        </w:r>
        <w:r w:rsidRPr="003B6022">
          <w:rPr>
            <w:webHidden/>
            <w:highlight w:val="yellow"/>
          </w:rPr>
        </w:r>
        <w:r w:rsidRPr="003B6022">
          <w:rPr>
            <w:webHidden/>
            <w:highlight w:val="yellow"/>
          </w:rPr>
          <w:fldChar w:fldCharType="separate"/>
        </w:r>
        <w:r w:rsidRPr="003B6022">
          <w:rPr>
            <w:webHidden/>
            <w:highlight w:val="yellow"/>
          </w:rPr>
          <w:t>5</w:t>
        </w:r>
        <w:r w:rsidRPr="003B6022">
          <w:rPr>
            <w:webHidden/>
            <w:highlight w:val="yellow"/>
          </w:rPr>
          <w:fldChar w:fldCharType="end"/>
        </w:r>
      </w:hyperlink>
    </w:p>
    <w:p w14:paraId="4F2C9429" w14:textId="58A061B7" w:rsidR="00B1500F" w:rsidRPr="003B6022" w:rsidRDefault="00B1500F" w:rsidP="00892AF7">
      <w:pPr>
        <w:pStyle w:val="TOC2"/>
        <w:rPr>
          <w:rFonts w:eastAsiaTheme="minorEastAsia"/>
          <w:b w:val="0"/>
          <w:color w:val="auto"/>
          <w:highlight w:val="yellow"/>
          <w:lang w:eastAsia="en-GB"/>
        </w:rPr>
      </w:pPr>
      <w:hyperlink w:anchor="_Toc207608711" w:history="1">
        <w:r w:rsidRPr="003B6022">
          <w:rPr>
            <w:rStyle w:val="Hyperlink"/>
            <w:b w:val="0"/>
            <w:highlight w:val="yellow"/>
          </w:rPr>
          <w:t>What is the defect the Proposer believes this modification will  address?</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_Toc207608711 \h </w:instrText>
        </w:r>
        <w:r w:rsidRPr="003B6022">
          <w:rPr>
            <w:b w:val="0"/>
            <w:webHidden/>
            <w:highlight w:val="yellow"/>
          </w:rPr>
        </w:r>
        <w:r w:rsidRPr="003B6022">
          <w:rPr>
            <w:b w:val="0"/>
            <w:webHidden/>
            <w:highlight w:val="yellow"/>
          </w:rPr>
          <w:fldChar w:fldCharType="separate"/>
        </w:r>
        <w:r w:rsidRPr="003B6022">
          <w:rPr>
            <w:b w:val="0"/>
            <w:webHidden/>
            <w:highlight w:val="yellow"/>
          </w:rPr>
          <w:t>5</w:t>
        </w:r>
        <w:r w:rsidRPr="003B6022">
          <w:rPr>
            <w:b w:val="0"/>
            <w:webHidden/>
            <w:highlight w:val="yellow"/>
          </w:rPr>
          <w:fldChar w:fldCharType="end"/>
        </w:r>
      </w:hyperlink>
    </w:p>
    <w:p w14:paraId="7C3CBD1C" w14:textId="513180BE" w:rsidR="00B1500F" w:rsidRPr="003B6022" w:rsidRDefault="00B1500F" w:rsidP="00892AF7">
      <w:pPr>
        <w:pStyle w:val="TOC2"/>
        <w:rPr>
          <w:rFonts w:eastAsiaTheme="minorEastAsia"/>
          <w:b w:val="0"/>
          <w:color w:val="auto"/>
          <w:highlight w:val="yellow"/>
          <w:lang w:eastAsia="en-GB"/>
        </w:rPr>
      </w:pPr>
      <w:hyperlink w:anchor="_Toc207608712" w:history="1">
        <w:r w:rsidRPr="003B6022">
          <w:rPr>
            <w:rStyle w:val="Hyperlink"/>
            <w:b w:val="0"/>
            <w:highlight w:val="yellow"/>
          </w:rPr>
          <w:t>Why change?</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_Toc207608712 \h </w:instrText>
        </w:r>
        <w:r w:rsidRPr="003B6022">
          <w:rPr>
            <w:b w:val="0"/>
            <w:webHidden/>
            <w:highlight w:val="yellow"/>
          </w:rPr>
        </w:r>
        <w:r w:rsidRPr="003B6022">
          <w:rPr>
            <w:b w:val="0"/>
            <w:webHidden/>
            <w:highlight w:val="yellow"/>
          </w:rPr>
          <w:fldChar w:fldCharType="separate"/>
        </w:r>
        <w:r w:rsidRPr="003B6022">
          <w:rPr>
            <w:b w:val="0"/>
            <w:webHidden/>
            <w:highlight w:val="yellow"/>
          </w:rPr>
          <w:t>5</w:t>
        </w:r>
        <w:r w:rsidRPr="003B6022">
          <w:rPr>
            <w:b w:val="0"/>
            <w:webHidden/>
            <w:highlight w:val="yellow"/>
          </w:rPr>
          <w:fldChar w:fldCharType="end"/>
        </w:r>
      </w:hyperlink>
    </w:p>
    <w:p w14:paraId="412FE1AB" w14:textId="6849C7FB" w:rsidR="00B1500F" w:rsidRPr="003B6022" w:rsidRDefault="00B1500F">
      <w:pPr>
        <w:pStyle w:val="TOC1"/>
        <w:rPr>
          <w:rFonts w:eastAsiaTheme="minorEastAsia" w:cstheme="minorBidi"/>
          <w:color w:val="auto"/>
          <w:highlight w:val="yellow"/>
          <w:lang w:eastAsia="en-GB"/>
        </w:rPr>
      </w:pPr>
      <w:hyperlink w:anchor="_Toc207608713" w:history="1">
        <w:r w:rsidRPr="003B6022">
          <w:rPr>
            <w:rStyle w:val="Hyperlink"/>
            <w:rFonts w:ascii="Poppins" w:hAnsi="Poppins" w:cs="Poppins"/>
            <w:highlight w:val="yellow"/>
          </w:rPr>
          <w:t>What is the solution?</w:t>
        </w:r>
        <w:r w:rsidRPr="003B6022">
          <w:rPr>
            <w:webHidden/>
            <w:highlight w:val="yellow"/>
          </w:rPr>
          <w:tab/>
        </w:r>
        <w:r w:rsidRPr="003B6022">
          <w:rPr>
            <w:webHidden/>
            <w:highlight w:val="yellow"/>
          </w:rPr>
          <w:fldChar w:fldCharType="begin"/>
        </w:r>
        <w:r w:rsidRPr="003B6022">
          <w:rPr>
            <w:webHidden/>
            <w:highlight w:val="yellow"/>
          </w:rPr>
          <w:instrText xml:space="preserve"> PAGEREF _Toc207608713 \h </w:instrText>
        </w:r>
        <w:r w:rsidRPr="003B6022">
          <w:rPr>
            <w:webHidden/>
            <w:highlight w:val="yellow"/>
          </w:rPr>
        </w:r>
        <w:r w:rsidRPr="003B6022">
          <w:rPr>
            <w:webHidden/>
            <w:highlight w:val="yellow"/>
          </w:rPr>
          <w:fldChar w:fldCharType="separate"/>
        </w:r>
        <w:r w:rsidRPr="003B6022">
          <w:rPr>
            <w:webHidden/>
            <w:highlight w:val="yellow"/>
          </w:rPr>
          <w:t>5</w:t>
        </w:r>
        <w:r w:rsidRPr="003B6022">
          <w:rPr>
            <w:webHidden/>
            <w:highlight w:val="yellow"/>
          </w:rPr>
          <w:fldChar w:fldCharType="end"/>
        </w:r>
      </w:hyperlink>
    </w:p>
    <w:p w14:paraId="64F138C2" w14:textId="4D3B6DF9" w:rsidR="00B1500F" w:rsidRPr="003B6022" w:rsidRDefault="00B1500F" w:rsidP="00892AF7">
      <w:pPr>
        <w:pStyle w:val="TOC2"/>
        <w:rPr>
          <w:rFonts w:eastAsiaTheme="minorEastAsia"/>
          <w:b w:val="0"/>
          <w:color w:val="auto"/>
          <w:highlight w:val="yellow"/>
          <w:lang w:eastAsia="en-GB"/>
        </w:rPr>
      </w:pPr>
      <w:hyperlink w:anchor="_Toc207608714" w:history="1">
        <w:r w:rsidRPr="003B6022">
          <w:rPr>
            <w:rStyle w:val="Hyperlink"/>
            <w:b w:val="0"/>
            <w:highlight w:val="yellow"/>
          </w:rPr>
          <w:t>Proposer’s Original solution</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_Toc207608714 \h </w:instrText>
        </w:r>
        <w:r w:rsidRPr="003B6022">
          <w:rPr>
            <w:b w:val="0"/>
            <w:webHidden/>
            <w:highlight w:val="yellow"/>
          </w:rPr>
        </w:r>
        <w:r w:rsidRPr="003B6022">
          <w:rPr>
            <w:b w:val="0"/>
            <w:webHidden/>
            <w:highlight w:val="yellow"/>
          </w:rPr>
          <w:fldChar w:fldCharType="separate"/>
        </w:r>
        <w:r w:rsidRPr="003B6022">
          <w:rPr>
            <w:b w:val="0"/>
            <w:webHidden/>
            <w:highlight w:val="yellow"/>
          </w:rPr>
          <w:t>5</w:t>
        </w:r>
        <w:r w:rsidRPr="003B6022">
          <w:rPr>
            <w:b w:val="0"/>
            <w:webHidden/>
            <w:highlight w:val="yellow"/>
          </w:rPr>
          <w:fldChar w:fldCharType="end"/>
        </w:r>
      </w:hyperlink>
    </w:p>
    <w:p w14:paraId="151B49F0" w14:textId="43561BCD" w:rsidR="00B1500F" w:rsidRPr="003B6022" w:rsidRDefault="00B1500F" w:rsidP="00892AF7">
      <w:pPr>
        <w:pStyle w:val="TOC2"/>
        <w:rPr>
          <w:rFonts w:eastAsiaTheme="minorEastAsia"/>
          <w:b w:val="0"/>
          <w:color w:val="auto"/>
          <w:highlight w:val="yellow"/>
          <w:lang w:eastAsia="en-GB"/>
        </w:rPr>
      </w:pPr>
      <w:hyperlink w:anchor="_Toc207608715" w:history="1">
        <w:r w:rsidRPr="003B6022">
          <w:rPr>
            <w:rStyle w:val="Hyperlink"/>
            <w:b w:val="0"/>
            <w:highlight w:val="yellow"/>
          </w:rPr>
          <w:t>Workgroup Alternative 1 solution</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_Toc207608715 \h </w:instrText>
        </w:r>
        <w:r w:rsidRPr="003B6022">
          <w:rPr>
            <w:b w:val="0"/>
            <w:webHidden/>
            <w:highlight w:val="yellow"/>
          </w:rPr>
        </w:r>
        <w:r w:rsidRPr="003B6022">
          <w:rPr>
            <w:b w:val="0"/>
            <w:webHidden/>
            <w:highlight w:val="yellow"/>
          </w:rPr>
          <w:fldChar w:fldCharType="separate"/>
        </w:r>
        <w:r w:rsidRPr="003B6022">
          <w:rPr>
            <w:b w:val="0"/>
            <w:webHidden/>
            <w:highlight w:val="yellow"/>
          </w:rPr>
          <w:t>5</w:t>
        </w:r>
        <w:r w:rsidRPr="003B6022">
          <w:rPr>
            <w:b w:val="0"/>
            <w:webHidden/>
            <w:highlight w:val="yellow"/>
          </w:rPr>
          <w:fldChar w:fldCharType="end"/>
        </w:r>
      </w:hyperlink>
    </w:p>
    <w:p w14:paraId="52F03F66" w14:textId="0676937F" w:rsidR="00B1500F" w:rsidRPr="003B6022" w:rsidRDefault="00B1500F" w:rsidP="00892AF7">
      <w:pPr>
        <w:pStyle w:val="TOC2"/>
        <w:rPr>
          <w:rFonts w:eastAsiaTheme="minorEastAsia"/>
          <w:b w:val="0"/>
          <w:color w:val="auto"/>
          <w:highlight w:val="yellow"/>
          <w:lang w:eastAsia="en-GB"/>
        </w:rPr>
      </w:pPr>
      <w:hyperlink w:anchor="_Toc207608716" w:history="1">
        <w:r w:rsidRPr="003B6022">
          <w:rPr>
            <w:rStyle w:val="Hyperlink"/>
            <w:b w:val="0"/>
            <w:highlight w:val="yellow"/>
          </w:rPr>
          <w:t>Workgroup Alternative 2 solution</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_Toc207608716 \h </w:instrText>
        </w:r>
        <w:r w:rsidRPr="003B6022">
          <w:rPr>
            <w:b w:val="0"/>
            <w:webHidden/>
            <w:highlight w:val="yellow"/>
          </w:rPr>
        </w:r>
        <w:r w:rsidRPr="003B6022">
          <w:rPr>
            <w:b w:val="0"/>
            <w:webHidden/>
            <w:highlight w:val="yellow"/>
          </w:rPr>
          <w:fldChar w:fldCharType="separate"/>
        </w:r>
        <w:r w:rsidRPr="003B6022">
          <w:rPr>
            <w:b w:val="0"/>
            <w:webHidden/>
            <w:highlight w:val="yellow"/>
          </w:rPr>
          <w:t>5</w:t>
        </w:r>
        <w:r w:rsidRPr="003B6022">
          <w:rPr>
            <w:b w:val="0"/>
            <w:webHidden/>
            <w:highlight w:val="yellow"/>
          </w:rPr>
          <w:fldChar w:fldCharType="end"/>
        </w:r>
      </w:hyperlink>
    </w:p>
    <w:p w14:paraId="65BD0345" w14:textId="5923BA65" w:rsidR="00B1500F" w:rsidRPr="003B6022" w:rsidRDefault="00B1500F" w:rsidP="00892AF7">
      <w:pPr>
        <w:pStyle w:val="TOC2"/>
        <w:rPr>
          <w:rFonts w:eastAsiaTheme="minorEastAsia"/>
          <w:b w:val="0"/>
          <w:color w:val="auto"/>
          <w:highlight w:val="yellow"/>
          <w:lang w:eastAsia="en-GB"/>
        </w:rPr>
      </w:pPr>
      <w:hyperlink w:anchor="_Toc207608717" w:history="1">
        <w:r w:rsidRPr="003B6022">
          <w:rPr>
            <w:rStyle w:val="Hyperlink"/>
            <w:b w:val="0"/>
            <w:highlight w:val="yellow"/>
          </w:rPr>
          <w:t xml:space="preserve">Legal </w:t>
        </w:r>
        <w:r w:rsidR="006750F1">
          <w:rPr>
            <w:rStyle w:val="Hyperlink"/>
            <w:b w:val="0"/>
            <w:highlight w:val="yellow"/>
          </w:rPr>
          <w:t>T</w:t>
        </w:r>
        <w:r w:rsidRPr="003B6022">
          <w:rPr>
            <w:rStyle w:val="Hyperlink"/>
            <w:b w:val="0"/>
            <w:highlight w:val="yellow"/>
          </w:rPr>
          <w:t>ext</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_Toc207608717 \h </w:instrText>
        </w:r>
        <w:r w:rsidRPr="003B6022">
          <w:rPr>
            <w:b w:val="0"/>
            <w:webHidden/>
            <w:highlight w:val="yellow"/>
          </w:rPr>
        </w:r>
        <w:r w:rsidRPr="003B6022">
          <w:rPr>
            <w:b w:val="0"/>
            <w:webHidden/>
            <w:highlight w:val="yellow"/>
          </w:rPr>
          <w:fldChar w:fldCharType="separate"/>
        </w:r>
        <w:r w:rsidRPr="003B6022">
          <w:rPr>
            <w:b w:val="0"/>
            <w:webHidden/>
            <w:highlight w:val="yellow"/>
          </w:rPr>
          <w:t>5</w:t>
        </w:r>
        <w:r w:rsidRPr="003B6022">
          <w:rPr>
            <w:b w:val="0"/>
            <w:webHidden/>
            <w:highlight w:val="yellow"/>
          </w:rPr>
          <w:fldChar w:fldCharType="end"/>
        </w:r>
      </w:hyperlink>
    </w:p>
    <w:p w14:paraId="1F335864" w14:textId="5EE61DC1" w:rsidR="00B1500F" w:rsidRPr="003B6022" w:rsidRDefault="00B1500F">
      <w:pPr>
        <w:pStyle w:val="TOC1"/>
        <w:rPr>
          <w:rFonts w:eastAsiaTheme="minorEastAsia" w:cstheme="minorBidi"/>
          <w:color w:val="auto"/>
          <w:highlight w:val="yellow"/>
          <w:lang w:eastAsia="en-GB"/>
        </w:rPr>
      </w:pPr>
      <w:hyperlink w:anchor="_Toc207608718" w:history="1">
        <w:r w:rsidRPr="003B6022">
          <w:rPr>
            <w:rStyle w:val="Hyperlink"/>
            <w:rFonts w:ascii="Poppins" w:hAnsi="Poppins" w:cs="Poppins"/>
            <w:highlight w:val="yellow"/>
          </w:rPr>
          <w:t>Workgroup considerations</w:t>
        </w:r>
        <w:r w:rsidRPr="003B6022">
          <w:rPr>
            <w:webHidden/>
            <w:highlight w:val="yellow"/>
          </w:rPr>
          <w:tab/>
        </w:r>
        <w:r w:rsidRPr="003B6022">
          <w:rPr>
            <w:webHidden/>
            <w:highlight w:val="yellow"/>
          </w:rPr>
          <w:fldChar w:fldCharType="begin"/>
        </w:r>
        <w:r w:rsidRPr="003B6022">
          <w:rPr>
            <w:webHidden/>
            <w:highlight w:val="yellow"/>
          </w:rPr>
          <w:instrText xml:space="preserve"> PAGEREF _Toc207608718 \h </w:instrText>
        </w:r>
        <w:r w:rsidRPr="003B6022">
          <w:rPr>
            <w:webHidden/>
            <w:highlight w:val="yellow"/>
          </w:rPr>
        </w:r>
        <w:r w:rsidRPr="003B6022">
          <w:rPr>
            <w:webHidden/>
            <w:highlight w:val="yellow"/>
          </w:rPr>
          <w:fldChar w:fldCharType="separate"/>
        </w:r>
        <w:r w:rsidRPr="003B6022">
          <w:rPr>
            <w:webHidden/>
            <w:highlight w:val="yellow"/>
          </w:rPr>
          <w:t>6</w:t>
        </w:r>
        <w:r w:rsidRPr="003B6022">
          <w:rPr>
            <w:webHidden/>
            <w:highlight w:val="yellow"/>
          </w:rPr>
          <w:fldChar w:fldCharType="end"/>
        </w:r>
      </w:hyperlink>
    </w:p>
    <w:p w14:paraId="0FD2C481" w14:textId="3832BB79" w:rsidR="00B1500F" w:rsidRPr="003B6022" w:rsidRDefault="00B1500F" w:rsidP="00892AF7">
      <w:pPr>
        <w:pStyle w:val="TOC2"/>
        <w:rPr>
          <w:rFonts w:eastAsiaTheme="minorEastAsia"/>
          <w:b w:val="0"/>
          <w:color w:val="auto"/>
          <w:highlight w:val="yellow"/>
          <w:lang w:eastAsia="en-GB"/>
        </w:rPr>
      </w:pPr>
      <w:hyperlink w:anchor="_Toc207608719" w:history="1">
        <w:r w:rsidRPr="003B6022">
          <w:rPr>
            <w:rStyle w:val="Hyperlink"/>
            <w:b w:val="0"/>
            <w:highlight w:val="yellow"/>
          </w:rPr>
          <w:t>Workgroup Discussion ahead of the Workgroup Consultation</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_Toc207608719 \h </w:instrText>
        </w:r>
        <w:r w:rsidRPr="003B6022">
          <w:rPr>
            <w:b w:val="0"/>
            <w:webHidden/>
            <w:highlight w:val="yellow"/>
          </w:rPr>
        </w:r>
        <w:r w:rsidRPr="003B6022">
          <w:rPr>
            <w:b w:val="0"/>
            <w:webHidden/>
            <w:highlight w:val="yellow"/>
          </w:rPr>
          <w:fldChar w:fldCharType="separate"/>
        </w:r>
        <w:r w:rsidRPr="003B6022">
          <w:rPr>
            <w:b w:val="0"/>
            <w:webHidden/>
            <w:highlight w:val="yellow"/>
          </w:rPr>
          <w:t>6</w:t>
        </w:r>
        <w:r w:rsidRPr="003B6022">
          <w:rPr>
            <w:b w:val="0"/>
            <w:webHidden/>
            <w:highlight w:val="yellow"/>
          </w:rPr>
          <w:fldChar w:fldCharType="end"/>
        </w:r>
      </w:hyperlink>
    </w:p>
    <w:p w14:paraId="23C949FA" w14:textId="27C34396" w:rsidR="00B1500F" w:rsidRPr="003B6022" w:rsidRDefault="00B1500F" w:rsidP="00892AF7">
      <w:pPr>
        <w:pStyle w:val="TOC2"/>
        <w:rPr>
          <w:rFonts w:eastAsiaTheme="minorEastAsia"/>
          <w:b w:val="0"/>
          <w:color w:val="auto"/>
          <w:highlight w:val="yellow"/>
          <w:lang w:eastAsia="en-GB"/>
        </w:rPr>
      </w:pPr>
      <w:hyperlink w:anchor="_Toc207608720" w:history="1">
        <w:r w:rsidRPr="003B6022">
          <w:rPr>
            <w:rStyle w:val="Hyperlink"/>
            <w:b w:val="0"/>
            <w:highlight w:val="yellow"/>
          </w:rPr>
          <w:t>Workgroup Consultation Summary</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_Toc207608720 \h </w:instrText>
        </w:r>
        <w:r w:rsidRPr="003B6022">
          <w:rPr>
            <w:b w:val="0"/>
            <w:webHidden/>
            <w:highlight w:val="yellow"/>
          </w:rPr>
        </w:r>
        <w:r w:rsidRPr="003B6022">
          <w:rPr>
            <w:b w:val="0"/>
            <w:webHidden/>
            <w:highlight w:val="yellow"/>
          </w:rPr>
          <w:fldChar w:fldCharType="separate"/>
        </w:r>
        <w:r w:rsidRPr="003B6022">
          <w:rPr>
            <w:b w:val="0"/>
            <w:webHidden/>
            <w:highlight w:val="yellow"/>
          </w:rPr>
          <w:t>6</w:t>
        </w:r>
        <w:r w:rsidRPr="003B6022">
          <w:rPr>
            <w:b w:val="0"/>
            <w:webHidden/>
            <w:highlight w:val="yellow"/>
          </w:rPr>
          <w:fldChar w:fldCharType="end"/>
        </w:r>
      </w:hyperlink>
    </w:p>
    <w:p w14:paraId="7C27CFBD" w14:textId="0E5C8509" w:rsidR="00B1500F" w:rsidRPr="003B6022" w:rsidRDefault="00B1500F" w:rsidP="00892AF7">
      <w:pPr>
        <w:pStyle w:val="TOC2"/>
        <w:rPr>
          <w:rFonts w:eastAsiaTheme="minorEastAsia"/>
          <w:b w:val="0"/>
          <w:color w:val="auto"/>
          <w:highlight w:val="yellow"/>
          <w:lang w:eastAsia="en-GB"/>
        </w:rPr>
      </w:pPr>
      <w:hyperlink w:anchor="_Toc207608721" w:history="1">
        <w:r w:rsidRPr="003B6022">
          <w:rPr>
            <w:rStyle w:val="Hyperlink"/>
            <w:b w:val="0"/>
            <w:highlight w:val="yellow"/>
          </w:rPr>
          <w:t>Post Workgroup Consultation Discussion</w:t>
        </w:r>
        <w:r w:rsidRPr="003B6022">
          <w:rPr>
            <w:rStyle w:val="Hyperlink"/>
            <w:rFonts w:ascii="Times New Roman" w:hAnsi="Times New Roman" w:cs="Times New Roman"/>
            <w:b w:val="0"/>
            <w:highlight w:val="yellow"/>
          </w:rPr>
          <w:t>​</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_Toc207608721 \h </w:instrText>
        </w:r>
        <w:r w:rsidRPr="003B6022">
          <w:rPr>
            <w:b w:val="0"/>
            <w:webHidden/>
            <w:highlight w:val="yellow"/>
          </w:rPr>
        </w:r>
        <w:r w:rsidRPr="003B6022">
          <w:rPr>
            <w:b w:val="0"/>
            <w:webHidden/>
            <w:highlight w:val="yellow"/>
          </w:rPr>
          <w:fldChar w:fldCharType="separate"/>
        </w:r>
        <w:r w:rsidRPr="003B6022">
          <w:rPr>
            <w:b w:val="0"/>
            <w:webHidden/>
            <w:highlight w:val="yellow"/>
          </w:rPr>
          <w:t>7</w:t>
        </w:r>
        <w:r w:rsidRPr="003B6022">
          <w:rPr>
            <w:b w:val="0"/>
            <w:webHidden/>
            <w:highlight w:val="yellow"/>
          </w:rPr>
          <w:fldChar w:fldCharType="end"/>
        </w:r>
      </w:hyperlink>
    </w:p>
    <w:p w14:paraId="1E597049" w14:textId="554B9546" w:rsidR="00B1500F" w:rsidRPr="003B6022" w:rsidRDefault="00B1500F" w:rsidP="00892AF7">
      <w:pPr>
        <w:pStyle w:val="TOC2"/>
        <w:rPr>
          <w:rFonts w:eastAsiaTheme="minorEastAsia"/>
          <w:b w:val="0"/>
          <w:color w:val="auto"/>
          <w:highlight w:val="yellow"/>
          <w:lang w:eastAsia="en-GB"/>
        </w:rPr>
      </w:pPr>
      <w:hyperlink w:anchor="_Toc207608722" w:history="1">
        <w:r w:rsidRPr="003B6022">
          <w:rPr>
            <w:rStyle w:val="Hyperlink"/>
            <w:b w:val="0"/>
            <w:highlight w:val="yellow"/>
          </w:rPr>
          <w:t>Alternative Requests</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_Toc207608722 \h </w:instrText>
        </w:r>
        <w:r w:rsidRPr="003B6022">
          <w:rPr>
            <w:b w:val="0"/>
            <w:webHidden/>
            <w:highlight w:val="yellow"/>
          </w:rPr>
        </w:r>
        <w:r w:rsidRPr="003B6022">
          <w:rPr>
            <w:b w:val="0"/>
            <w:webHidden/>
            <w:highlight w:val="yellow"/>
          </w:rPr>
          <w:fldChar w:fldCharType="separate"/>
        </w:r>
        <w:r w:rsidRPr="003B6022">
          <w:rPr>
            <w:b w:val="0"/>
            <w:webHidden/>
            <w:highlight w:val="yellow"/>
          </w:rPr>
          <w:t>7</w:t>
        </w:r>
        <w:r w:rsidRPr="003B6022">
          <w:rPr>
            <w:b w:val="0"/>
            <w:webHidden/>
            <w:highlight w:val="yellow"/>
          </w:rPr>
          <w:fldChar w:fldCharType="end"/>
        </w:r>
      </w:hyperlink>
    </w:p>
    <w:p w14:paraId="68356647" w14:textId="59E8DFD5" w:rsidR="00B1500F" w:rsidRPr="003B6022" w:rsidRDefault="00B1500F" w:rsidP="00892AF7">
      <w:pPr>
        <w:pStyle w:val="TOC2"/>
        <w:rPr>
          <w:rFonts w:eastAsiaTheme="minorEastAsia"/>
          <w:b w:val="0"/>
          <w:color w:val="auto"/>
          <w:highlight w:val="yellow"/>
          <w:lang w:eastAsia="en-GB"/>
        </w:rPr>
      </w:pPr>
      <w:hyperlink w:anchor="_Toc207608723" w:history="1">
        <w:r w:rsidRPr="003B6022">
          <w:rPr>
            <w:rStyle w:val="Hyperlink"/>
            <w:b w:val="0"/>
            <w:highlight w:val="yellow"/>
          </w:rPr>
          <w:t>Terms of Reference Overview</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_Toc207608723 \h </w:instrText>
        </w:r>
        <w:r w:rsidRPr="003B6022">
          <w:rPr>
            <w:b w:val="0"/>
            <w:webHidden/>
            <w:highlight w:val="yellow"/>
          </w:rPr>
        </w:r>
        <w:r w:rsidRPr="003B6022">
          <w:rPr>
            <w:b w:val="0"/>
            <w:webHidden/>
            <w:highlight w:val="yellow"/>
          </w:rPr>
          <w:fldChar w:fldCharType="separate"/>
        </w:r>
        <w:r w:rsidRPr="003B6022">
          <w:rPr>
            <w:b w:val="0"/>
            <w:webHidden/>
            <w:highlight w:val="yellow"/>
          </w:rPr>
          <w:t>8</w:t>
        </w:r>
        <w:r w:rsidRPr="003B6022">
          <w:rPr>
            <w:b w:val="0"/>
            <w:webHidden/>
            <w:highlight w:val="yellow"/>
          </w:rPr>
          <w:fldChar w:fldCharType="end"/>
        </w:r>
      </w:hyperlink>
    </w:p>
    <w:p w14:paraId="63A18FC0" w14:textId="066CAE5F" w:rsidR="00B1500F" w:rsidRPr="003B6022" w:rsidRDefault="00B1500F">
      <w:pPr>
        <w:pStyle w:val="TOC1"/>
        <w:rPr>
          <w:rFonts w:eastAsiaTheme="minorEastAsia" w:cstheme="minorBidi"/>
          <w:color w:val="auto"/>
          <w:highlight w:val="yellow"/>
          <w:lang w:eastAsia="en-GB"/>
        </w:rPr>
      </w:pPr>
      <w:hyperlink w:anchor="_Toc207608724" w:history="1">
        <w:r w:rsidRPr="003B6022">
          <w:rPr>
            <w:rStyle w:val="Hyperlink"/>
            <w:rFonts w:ascii="Poppins" w:hAnsi="Poppins" w:cs="Poppins"/>
            <w:highlight w:val="yellow"/>
          </w:rPr>
          <w:t>What is the impact of this change?</w:t>
        </w:r>
        <w:r w:rsidRPr="003B6022">
          <w:rPr>
            <w:webHidden/>
            <w:highlight w:val="yellow"/>
          </w:rPr>
          <w:tab/>
        </w:r>
        <w:r w:rsidRPr="003B6022">
          <w:rPr>
            <w:webHidden/>
            <w:highlight w:val="yellow"/>
          </w:rPr>
          <w:fldChar w:fldCharType="begin"/>
        </w:r>
        <w:r w:rsidRPr="003B6022">
          <w:rPr>
            <w:webHidden/>
            <w:highlight w:val="yellow"/>
          </w:rPr>
          <w:instrText xml:space="preserve"> PAGEREF _Toc207608724 \h </w:instrText>
        </w:r>
        <w:r w:rsidRPr="003B6022">
          <w:rPr>
            <w:webHidden/>
            <w:highlight w:val="yellow"/>
          </w:rPr>
        </w:r>
        <w:r w:rsidRPr="003B6022">
          <w:rPr>
            <w:webHidden/>
            <w:highlight w:val="yellow"/>
          </w:rPr>
          <w:fldChar w:fldCharType="separate"/>
        </w:r>
        <w:r w:rsidRPr="003B6022">
          <w:rPr>
            <w:webHidden/>
            <w:highlight w:val="yellow"/>
          </w:rPr>
          <w:t>9</w:t>
        </w:r>
        <w:r w:rsidRPr="003B6022">
          <w:rPr>
            <w:webHidden/>
            <w:highlight w:val="yellow"/>
          </w:rPr>
          <w:fldChar w:fldCharType="end"/>
        </w:r>
      </w:hyperlink>
    </w:p>
    <w:p w14:paraId="4814B069" w14:textId="0D31CD3B" w:rsidR="00B1500F" w:rsidRPr="003B6022" w:rsidRDefault="00B1500F" w:rsidP="00892AF7">
      <w:pPr>
        <w:pStyle w:val="TOC2"/>
        <w:rPr>
          <w:rFonts w:eastAsiaTheme="minorEastAsia"/>
          <w:b w:val="0"/>
          <w:color w:val="auto"/>
          <w:highlight w:val="yellow"/>
          <w:lang w:eastAsia="en-GB"/>
        </w:rPr>
      </w:pPr>
      <w:hyperlink w:anchor="_Toc207608725" w:history="1">
        <w:r w:rsidRPr="003B6022">
          <w:rPr>
            <w:rStyle w:val="Hyperlink"/>
            <w:b w:val="0"/>
            <w:highlight w:val="yellow"/>
          </w:rPr>
          <w:t>Original and Workgroup Alternative Proposer’s assessment against Code Objectives</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_Toc207608725 \h </w:instrText>
        </w:r>
        <w:r w:rsidRPr="003B6022">
          <w:rPr>
            <w:b w:val="0"/>
            <w:webHidden/>
            <w:highlight w:val="yellow"/>
          </w:rPr>
        </w:r>
        <w:r w:rsidRPr="003B6022">
          <w:rPr>
            <w:b w:val="0"/>
            <w:webHidden/>
            <w:highlight w:val="yellow"/>
          </w:rPr>
          <w:fldChar w:fldCharType="separate"/>
        </w:r>
        <w:r w:rsidRPr="003B6022">
          <w:rPr>
            <w:b w:val="0"/>
            <w:webHidden/>
            <w:highlight w:val="yellow"/>
          </w:rPr>
          <w:t>9</w:t>
        </w:r>
        <w:r w:rsidRPr="003B6022">
          <w:rPr>
            <w:b w:val="0"/>
            <w:webHidden/>
            <w:highlight w:val="yellow"/>
          </w:rPr>
          <w:fldChar w:fldCharType="end"/>
        </w:r>
      </w:hyperlink>
    </w:p>
    <w:p w14:paraId="5CC0890E" w14:textId="3AF71087" w:rsidR="00B1500F" w:rsidRPr="003B6022" w:rsidRDefault="00B1500F" w:rsidP="00892AF7">
      <w:pPr>
        <w:pStyle w:val="TOC2"/>
        <w:rPr>
          <w:rFonts w:eastAsiaTheme="minorEastAsia"/>
          <w:b w:val="0"/>
          <w:color w:val="auto"/>
          <w:highlight w:val="yellow"/>
          <w:lang w:eastAsia="en-GB"/>
        </w:rPr>
      </w:pPr>
      <w:hyperlink w:anchor="_Toc207608726" w:history="1">
        <w:r w:rsidRPr="003B6022">
          <w:rPr>
            <w:rStyle w:val="Hyperlink"/>
            <w:b w:val="0"/>
            <w:highlight w:val="yellow"/>
          </w:rPr>
          <w:t>Assessment of the impact of the modification on the stakeholder / consumer benefit categories </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_Toc207608726 \h </w:instrText>
        </w:r>
        <w:r w:rsidRPr="003B6022">
          <w:rPr>
            <w:b w:val="0"/>
            <w:webHidden/>
            <w:highlight w:val="yellow"/>
          </w:rPr>
        </w:r>
        <w:r w:rsidRPr="003B6022">
          <w:rPr>
            <w:b w:val="0"/>
            <w:webHidden/>
            <w:highlight w:val="yellow"/>
          </w:rPr>
          <w:fldChar w:fldCharType="separate"/>
        </w:r>
        <w:r w:rsidRPr="003B6022">
          <w:rPr>
            <w:b w:val="0"/>
            <w:webHidden/>
            <w:highlight w:val="yellow"/>
          </w:rPr>
          <w:t>10</w:t>
        </w:r>
        <w:r w:rsidRPr="003B6022">
          <w:rPr>
            <w:b w:val="0"/>
            <w:webHidden/>
            <w:highlight w:val="yellow"/>
          </w:rPr>
          <w:fldChar w:fldCharType="end"/>
        </w:r>
      </w:hyperlink>
    </w:p>
    <w:p w14:paraId="6156C0EA" w14:textId="027D9DB3" w:rsidR="00B1500F" w:rsidRPr="003B6022" w:rsidRDefault="00B1500F" w:rsidP="00892AF7">
      <w:pPr>
        <w:pStyle w:val="TOC2"/>
        <w:rPr>
          <w:rFonts w:eastAsiaTheme="minorEastAsia"/>
          <w:b w:val="0"/>
          <w:color w:val="auto"/>
          <w:highlight w:val="yellow"/>
          <w:lang w:eastAsia="en-GB"/>
        </w:rPr>
      </w:pPr>
      <w:hyperlink w:anchor="_Toc207608727" w:history="1">
        <w:r w:rsidRPr="003B6022">
          <w:rPr>
            <w:rStyle w:val="Hyperlink"/>
            <w:b w:val="0"/>
            <w:highlight w:val="yellow"/>
          </w:rPr>
          <w:t>Workgroup Vote</w:t>
        </w:r>
        <w:r w:rsidRPr="003B6022">
          <w:rPr>
            <w:b w:val="0"/>
            <w:webHidden/>
            <w:highlight w:val="yellow"/>
          </w:rPr>
          <w:tab/>
        </w:r>
        <w:r w:rsidRPr="003B6022">
          <w:rPr>
            <w:b w:val="0"/>
            <w:webHidden/>
            <w:highlight w:val="yellow"/>
          </w:rPr>
          <w:fldChar w:fldCharType="begin"/>
        </w:r>
        <w:r w:rsidRPr="003B6022">
          <w:rPr>
            <w:b w:val="0"/>
            <w:webHidden/>
            <w:highlight w:val="yellow"/>
          </w:rPr>
          <w:instrText xml:space="preserve"> PAGEREF _Toc207608727 \h </w:instrText>
        </w:r>
        <w:r w:rsidRPr="003B6022">
          <w:rPr>
            <w:b w:val="0"/>
            <w:webHidden/>
            <w:highlight w:val="yellow"/>
          </w:rPr>
        </w:r>
        <w:r w:rsidRPr="003B6022">
          <w:rPr>
            <w:b w:val="0"/>
            <w:webHidden/>
            <w:highlight w:val="yellow"/>
          </w:rPr>
          <w:fldChar w:fldCharType="separate"/>
        </w:r>
        <w:r w:rsidRPr="003B6022">
          <w:rPr>
            <w:b w:val="0"/>
            <w:webHidden/>
            <w:highlight w:val="yellow"/>
          </w:rPr>
          <w:t>12</w:t>
        </w:r>
        <w:r w:rsidRPr="003B6022">
          <w:rPr>
            <w:b w:val="0"/>
            <w:webHidden/>
            <w:highlight w:val="yellow"/>
          </w:rPr>
          <w:fldChar w:fldCharType="end"/>
        </w:r>
      </w:hyperlink>
    </w:p>
    <w:p w14:paraId="5833C140" w14:textId="2A8FFD8C" w:rsidR="00B1500F" w:rsidRPr="003B6022" w:rsidRDefault="00B1500F">
      <w:pPr>
        <w:pStyle w:val="TOC1"/>
        <w:rPr>
          <w:rFonts w:eastAsiaTheme="minorEastAsia" w:cstheme="minorBidi"/>
          <w:color w:val="auto"/>
          <w:highlight w:val="yellow"/>
          <w:lang w:eastAsia="en-GB"/>
        </w:rPr>
      </w:pPr>
      <w:hyperlink w:anchor="_Toc207608728" w:history="1">
        <w:r w:rsidRPr="003B6022">
          <w:rPr>
            <w:rStyle w:val="Hyperlink"/>
            <w:rFonts w:ascii="Poppins" w:hAnsi="Poppins" w:cs="Poppins"/>
            <w:highlight w:val="yellow"/>
          </w:rPr>
          <w:t>When will this change take place?</w:t>
        </w:r>
        <w:r w:rsidRPr="003B6022">
          <w:rPr>
            <w:webHidden/>
            <w:highlight w:val="yellow"/>
          </w:rPr>
          <w:tab/>
        </w:r>
        <w:r w:rsidRPr="003B6022">
          <w:rPr>
            <w:webHidden/>
            <w:highlight w:val="yellow"/>
          </w:rPr>
          <w:fldChar w:fldCharType="begin"/>
        </w:r>
        <w:r w:rsidRPr="003B6022">
          <w:rPr>
            <w:webHidden/>
            <w:highlight w:val="yellow"/>
          </w:rPr>
          <w:instrText xml:space="preserve"> PAGEREF _Toc207608728 \h </w:instrText>
        </w:r>
        <w:r w:rsidRPr="003B6022">
          <w:rPr>
            <w:webHidden/>
            <w:highlight w:val="yellow"/>
          </w:rPr>
        </w:r>
        <w:r w:rsidRPr="003B6022">
          <w:rPr>
            <w:webHidden/>
            <w:highlight w:val="yellow"/>
          </w:rPr>
          <w:fldChar w:fldCharType="separate"/>
        </w:r>
        <w:r w:rsidRPr="003B6022">
          <w:rPr>
            <w:webHidden/>
            <w:highlight w:val="yellow"/>
          </w:rPr>
          <w:t>15</w:t>
        </w:r>
        <w:r w:rsidRPr="003B6022">
          <w:rPr>
            <w:webHidden/>
            <w:highlight w:val="yellow"/>
          </w:rPr>
          <w:fldChar w:fldCharType="end"/>
        </w:r>
      </w:hyperlink>
    </w:p>
    <w:p w14:paraId="548991D6" w14:textId="77479321" w:rsidR="00B1500F" w:rsidRPr="003B6022" w:rsidRDefault="00B1500F">
      <w:pPr>
        <w:pStyle w:val="TOC1"/>
        <w:rPr>
          <w:rFonts w:eastAsiaTheme="minorEastAsia" w:cstheme="minorBidi"/>
          <w:color w:val="auto"/>
          <w:highlight w:val="yellow"/>
          <w:lang w:eastAsia="en-GB"/>
        </w:rPr>
      </w:pPr>
      <w:hyperlink w:anchor="_Toc207608729" w:history="1">
        <w:r w:rsidRPr="003B6022">
          <w:rPr>
            <w:rStyle w:val="Hyperlink"/>
            <w:rFonts w:ascii="Poppins" w:hAnsi="Poppins" w:cs="Poppins"/>
            <w:highlight w:val="yellow"/>
          </w:rPr>
          <w:t>Interactions</w:t>
        </w:r>
        <w:r w:rsidRPr="003B6022">
          <w:rPr>
            <w:webHidden/>
            <w:highlight w:val="yellow"/>
          </w:rPr>
          <w:tab/>
        </w:r>
        <w:r w:rsidRPr="003B6022">
          <w:rPr>
            <w:webHidden/>
            <w:highlight w:val="yellow"/>
          </w:rPr>
          <w:fldChar w:fldCharType="begin"/>
        </w:r>
        <w:r w:rsidRPr="003B6022">
          <w:rPr>
            <w:webHidden/>
            <w:highlight w:val="yellow"/>
          </w:rPr>
          <w:instrText xml:space="preserve"> PAGEREF _Toc207608729 \h </w:instrText>
        </w:r>
        <w:r w:rsidRPr="003B6022">
          <w:rPr>
            <w:webHidden/>
            <w:highlight w:val="yellow"/>
          </w:rPr>
        </w:r>
        <w:r w:rsidRPr="003B6022">
          <w:rPr>
            <w:webHidden/>
            <w:highlight w:val="yellow"/>
          </w:rPr>
          <w:fldChar w:fldCharType="separate"/>
        </w:r>
        <w:r w:rsidRPr="003B6022">
          <w:rPr>
            <w:webHidden/>
            <w:highlight w:val="yellow"/>
          </w:rPr>
          <w:t>16</w:t>
        </w:r>
        <w:r w:rsidRPr="003B6022">
          <w:rPr>
            <w:webHidden/>
            <w:highlight w:val="yellow"/>
          </w:rPr>
          <w:fldChar w:fldCharType="end"/>
        </w:r>
      </w:hyperlink>
    </w:p>
    <w:p w14:paraId="3CAC9390" w14:textId="435E9FA8" w:rsidR="00B1500F" w:rsidRPr="003B6022" w:rsidRDefault="00B1500F">
      <w:pPr>
        <w:pStyle w:val="TOC1"/>
        <w:rPr>
          <w:rFonts w:eastAsiaTheme="minorEastAsia" w:cstheme="minorBidi"/>
          <w:color w:val="auto"/>
          <w:highlight w:val="yellow"/>
          <w:lang w:eastAsia="en-GB"/>
        </w:rPr>
      </w:pPr>
      <w:hyperlink w:anchor="_Toc207608730" w:history="1">
        <w:r w:rsidRPr="003B6022">
          <w:rPr>
            <w:rStyle w:val="Hyperlink"/>
            <w:rFonts w:ascii="Poppins" w:hAnsi="Poppins" w:cs="Poppins"/>
            <w:highlight w:val="yellow"/>
          </w:rPr>
          <w:t>Acronyms, key terms and reference material</w:t>
        </w:r>
        <w:r w:rsidRPr="003B6022">
          <w:rPr>
            <w:webHidden/>
            <w:highlight w:val="yellow"/>
          </w:rPr>
          <w:tab/>
        </w:r>
        <w:r w:rsidRPr="003B6022">
          <w:rPr>
            <w:webHidden/>
            <w:highlight w:val="yellow"/>
          </w:rPr>
          <w:fldChar w:fldCharType="begin"/>
        </w:r>
        <w:r w:rsidRPr="003B6022">
          <w:rPr>
            <w:webHidden/>
            <w:highlight w:val="yellow"/>
          </w:rPr>
          <w:instrText xml:space="preserve"> PAGEREF _Toc207608730 \h </w:instrText>
        </w:r>
        <w:r w:rsidRPr="003B6022">
          <w:rPr>
            <w:webHidden/>
            <w:highlight w:val="yellow"/>
          </w:rPr>
        </w:r>
        <w:r w:rsidRPr="003B6022">
          <w:rPr>
            <w:webHidden/>
            <w:highlight w:val="yellow"/>
          </w:rPr>
          <w:fldChar w:fldCharType="separate"/>
        </w:r>
        <w:r w:rsidRPr="003B6022">
          <w:rPr>
            <w:webHidden/>
            <w:highlight w:val="yellow"/>
          </w:rPr>
          <w:t>16</w:t>
        </w:r>
        <w:r w:rsidRPr="003B6022">
          <w:rPr>
            <w:webHidden/>
            <w:highlight w:val="yellow"/>
          </w:rPr>
          <w:fldChar w:fldCharType="end"/>
        </w:r>
      </w:hyperlink>
    </w:p>
    <w:p w14:paraId="43A5C677" w14:textId="7CAA7789" w:rsidR="00B1500F" w:rsidRPr="003B6022" w:rsidRDefault="00B1500F">
      <w:pPr>
        <w:pStyle w:val="TOC1"/>
        <w:rPr>
          <w:rFonts w:eastAsiaTheme="minorEastAsia" w:cstheme="minorBidi"/>
          <w:color w:val="auto"/>
          <w:highlight w:val="yellow"/>
          <w:lang w:eastAsia="en-GB"/>
        </w:rPr>
      </w:pPr>
      <w:hyperlink w:anchor="_Toc207608731" w:history="1">
        <w:r w:rsidRPr="003B6022">
          <w:rPr>
            <w:rStyle w:val="Hyperlink"/>
            <w:rFonts w:ascii="Poppins" w:hAnsi="Poppins" w:cs="Poppins"/>
            <w:highlight w:val="yellow"/>
          </w:rPr>
          <w:t>Annexes</w:t>
        </w:r>
        <w:r w:rsidRPr="003B6022">
          <w:rPr>
            <w:webHidden/>
            <w:highlight w:val="yellow"/>
          </w:rPr>
          <w:tab/>
        </w:r>
        <w:r w:rsidRPr="003B6022">
          <w:rPr>
            <w:webHidden/>
            <w:highlight w:val="yellow"/>
          </w:rPr>
          <w:fldChar w:fldCharType="begin"/>
        </w:r>
        <w:r w:rsidRPr="003B6022">
          <w:rPr>
            <w:webHidden/>
            <w:highlight w:val="yellow"/>
          </w:rPr>
          <w:instrText xml:space="preserve"> PAGEREF _Toc207608731 \h </w:instrText>
        </w:r>
        <w:r w:rsidRPr="003B6022">
          <w:rPr>
            <w:webHidden/>
            <w:highlight w:val="yellow"/>
          </w:rPr>
        </w:r>
        <w:r w:rsidRPr="003B6022">
          <w:rPr>
            <w:webHidden/>
            <w:highlight w:val="yellow"/>
          </w:rPr>
          <w:fldChar w:fldCharType="separate"/>
        </w:r>
        <w:r w:rsidRPr="003B6022">
          <w:rPr>
            <w:webHidden/>
            <w:highlight w:val="yellow"/>
          </w:rPr>
          <w:t>16</w:t>
        </w:r>
        <w:r w:rsidRPr="003B6022">
          <w:rPr>
            <w:webHidden/>
            <w:highlight w:val="yellow"/>
          </w:rPr>
          <w:fldChar w:fldCharType="end"/>
        </w:r>
      </w:hyperlink>
    </w:p>
    <w:p w14:paraId="7125B75C" w14:textId="226E04AB" w:rsidR="00774D50" w:rsidRDefault="00CA0621" w:rsidP="00CA0621">
      <w:pPr>
        <w:rPr>
          <w:rFonts w:ascii="Poppins" w:hAnsi="Poppins" w:cs="Poppins"/>
          <w:highlight w:val="yellow"/>
        </w:rPr>
      </w:pPr>
      <w:r w:rsidRPr="003B6022">
        <w:rPr>
          <w:rFonts w:ascii="Poppins" w:hAnsi="Poppins" w:cs="Poppins"/>
          <w:highlight w:val="yellow"/>
        </w:rPr>
        <w:fldChar w:fldCharType="end"/>
      </w:r>
      <w:bookmarkStart w:id="1" w:name="_Toc58482270"/>
    </w:p>
    <w:p w14:paraId="71B5D1DC" w14:textId="77777777" w:rsidR="00774D50" w:rsidRDefault="00774D50">
      <w:pPr>
        <w:spacing w:after="120" w:line="240" w:lineRule="auto"/>
        <w:rPr>
          <w:rFonts w:ascii="Poppins" w:hAnsi="Poppins" w:cs="Poppins"/>
          <w:highlight w:val="yellow"/>
        </w:rPr>
      </w:pPr>
      <w:r>
        <w:rPr>
          <w:rFonts w:ascii="Poppins" w:hAnsi="Poppins" w:cs="Poppins"/>
          <w:highlight w:val="yellow"/>
        </w:rPr>
        <w:br w:type="page"/>
      </w:r>
    </w:p>
    <w:p w14:paraId="4EF83018" w14:textId="77777777" w:rsidR="00CA0621" w:rsidRPr="00DE2E99" w:rsidRDefault="00CA0621" w:rsidP="00CA0621">
      <w:pPr>
        <w:pStyle w:val="Heading1"/>
        <w:rPr>
          <w:rFonts w:ascii="Poppins" w:hAnsi="Poppins" w:cs="Poppins"/>
        </w:rPr>
      </w:pPr>
      <w:bookmarkStart w:id="2" w:name="_Executive_summary_1"/>
      <w:bookmarkStart w:id="3" w:name="_Toc207608709"/>
      <w:bookmarkStart w:id="4" w:name="_Toc58837630"/>
      <w:bookmarkEnd w:id="1"/>
      <w:bookmarkEnd w:id="2"/>
      <w:r w:rsidRPr="00DE2E99">
        <w:rPr>
          <w:rFonts w:ascii="Poppins" w:hAnsi="Poppins" w:cs="Poppins"/>
        </w:rPr>
        <w:lastRenderedPageBreak/>
        <w:t xml:space="preserve">Executive </w:t>
      </w:r>
      <w:r w:rsidRPr="001C1E8D">
        <w:rPr>
          <w:rFonts w:ascii="Poppins" w:hAnsi="Poppins" w:cs="Poppins"/>
          <w:color w:val="3F0731"/>
        </w:rPr>
        <w:t>Summary</w:t>
      </w:r>
      <w:bookmarkEnd w:id="3"/>
    </w:p>
    <w:p w14:paraId="6D721853" w14:textId="68E1C6B2" w:rsidR="00DD0732" w:rsidRPr="003E0F6B" w:rsidRDefault="003E0F6B" w:rsidP="00CA0621">
      <w:pPr>
        <w:rPr>
          <w:rFonts w:ascii="Poppins" w:hAnsi="Poppins" w:cs="Poppins"/>
          <w:iCs/>
          <w:noProof/>
          <w:color w:val="000000" w:themeColor="text1"/>
        </w:rPr>
      </w:pPr>
      <w:bookmarkStart w:id="5" w:name="_Hlk31885141"/>
      <w:r w:rsidRPr="003E0F6B">
        <w:rPr>
          <w:rFonts w:ascii="Poppins" w:hAnsi="Poppins" w:cs="Poppins"/>
          <w:iCs/>
          <w:color w:val="000000" w:themeColor="text1"/>
        </w:rPr>
        <w:t>The CMP460 modification aims to improve the charging framework for Transmission Connection Assets by socialising the cost of shareable Transmission Assets through Transmission Network Use of System (TNUoS), thereby promoting a more equitable and predictable charging methodology. It has been raised to address significant financial and procedural challenges faced by Users, particularly distribution Users. The key challenges are cost uncertainty and liabilities linked to new Transmission Asset reinforcement.</w:t>
      </w:r>
    </w:p>
    <w:p w14:paraId="4D1C250F" w14:textId="77777777" w:rsidR="00CA0621" w:rsidRPr="00D91432" w:rsidRDefault="00CA0621" w:rsidP="00FC3055">
      <w:pPr>
        <w:spacing w:after="0"/>
        <w:rPr>
          <w:rFonts w:ascii="Poppins" w:hAnsi="Poppins" w:cs="Poppins"/>
          <w:b/>
          <w:bCs/>
          <w:color w:val="3F0731"/>
        </w:rPr>
      </w:pPr>
      <w:r w:rsidRPr="00D91432">
        <w:rPr>
          <w:rFonts w:ascii="Poppins" w:hAnsi="Poppins" w:cs="Poppins"/>
          <w:b/>
          <w:bCs/>
          <w:color w:val="3F0731"/>
        </w:rPr>
        <w:t>What is the issue?</w:t>
      </w:r>
    </w:p>
    <w:bookmarkEnd w:id="5"/>
    <w:p w14:paraId="64F073E6" w14:textId="77777777" w:rsidR="00D3310F" w:rsidRPr="00D3310F" w:rsidRDefault="00D3310F" w:rsidP="00D3310F">
      <w:pPr>
        <w:spacing w:after="0"/>
        <w:rPr>
          <w:rFonts w:ascii="Poppins" w:hAnsi="Poppins" w:cs="Poppins"/>
          <w:iCs/>
          <w:noProof/>
          <w:color w:val="000000" w:themeColor="text1"/>
        </w:rPr>
      </w:pPr>
      <w:r w:rsidRPr="00D3310F">
        <w:rPr>
          <w:rFonts w:ascii="Poppins" w:hAnsi="Poppins" w:cs="Poppins"/>
          <w:iCs/>
          <w:noProof/>
          <w:color w:val="000000" w:themeColor="text1"/>
        </w:rPr>
        <w:t xml:space="preserve">The existing definitions of Transmission Asset and Connection Asset create inconsistencies, where a User is liable for significant connection charges due to the decisions of other Users rather than due to the Transmission Reinforcement works they have triggered. One User can be charged for the full cost of Transmission Assets because they are the sole User. This User is charged even if the Transmission Assets can be utilised by other, as yet undefined, Users in the future. Whereas another User can trigger the same reinforcement elsewhere and pay nothing because they share a Grid Supply Point (GSP) with other existing Users. </w:t>
      </w:r>
    </w:p>
    <w:p w14:paraId="779B2401" w14:textId="77777777" w:rsidR="00D3310F" w:rsidRPr="00D3310F" w:rsidRDefault="00D3310F" w:rsidP="00D3310F">
      <w:pPr>
        <w:spacing w:after="0"/>
        <w:rPr>
          <w:rFonts w:ascii="Poppins" w:hAnsi="Poppins" w:cs="Poppins"/>
          <w:iCs/>
          <w:noProof/>
          <w:color w:val="000000" w:themeColor="text1"/>
        </w:rPr>
      </w:pPr>
    </w:p>
    <w:p w14:paraId="19891802" w14:textId="15C13852" w:rsidR="00FC3055" w:rsidRDefault="00D3310F" w:rsidP="00D3310F">
      <w:pPr>
        <w:spacing w:after="0"/>
        <w:rPr>
          <w:rFonts w:ascii="Poppins" w:hAnsi="Poppins" w:cs="Poppins"/>
          <w:iCs/>
          <w:noProof/>
          <w:color w:val="000000" w:themeColor="text1"/>
        </w:rPr>
      </w:pPr>
      <w:r w:rsidRPr="00D3310F">
        <w:rPr>
          <w:rFonts w:ascii="Poppins" w:hAnsi="Poppins" w:cs="Poppins"/>
          <w:iCs/>
          <w:noProof/>
          <w:color w:val="000000" w:themeColor="text1"/>
        </w:rPr>
        <w:t>This issue leads to unpredictability in charges, increased financial exposure for Distribution Network Operators (DNOs), and delays in strategic grid development. This lack of clarity deters investment, particularly in low-carbon and community energy projects.</w:t>
      </w:r>
    </w:p>
    <w:p w14:paraId="08B32E15" w14:textId="77777777" w:rsidR="00D3310F" w:rsidRPr="00D3310F" w:rsidRDefault="00D3310F" w:rsidP="00D3310F">
      <w:pPr>
        <w:spacing w:after="0"/>
        <w:rPr>
          <w:rFonts w:ascii="Poppins" w:hAnsi="Poppins" w:cs="Poppins"/>
          <w:iCs/>
          <w:noProof/>
          <w:color w:val="000000" w:themeColor="text1"/>
        </w:rPr>
      </w:pPr>
    </w:p>
    <w:p w14:paraId="3B6ABE59" w14:textId="77777777" w:rsidR="00CA0621" w:rsidRPr="00D91432" w:rsidRDefault="00CA0621" w:rsidP="00FC3055">
      <w:pPr>
        <w:spacing w:after="0"/>
        <w:rPr>
          <w:rFonts w:ascii="Poppins" w:hAnsi="Poppins" w:cs="Poppins"/>
          <w:b/>
          <w:bCs/>
          <w:color w:val="3F0731"/>
        </w:rPr>
      </w:pPr>
      <w:r w:rsidRPr="00D91432">
        <w:rPr>
          <w:rFonts w:ascii="Poppins" w:hAnsi="Poppins" w:cs="Poppins"/>
          <w:b/>
          <w:bCs/>
          <w:color w:val="3F0731"/>
        </w:rPr>
        <w:t>What is the solution and when will it come into effect?</w:t>
      </w:r>
    </w:p>
    <w:p w14:paraId="091529F6" w14:textId="4B595C13" w:rsidR="00CA0621" w:rsidRPr="00B6363E" w:rsidRDefault="00CA0621" w:rsidP="00FC3055">
      <w:pPr>
        <w:spacing w:after="0"/>
        <w:rPr>
          <w:rFonts w:ascii="Poppins" w:hAnsi="Poppins" w:cs="Poppins"/>
          <w:i/>
          <w:color w:val="FF00FF"/>
        </w:rPr>
      </w:pPr>
      <w:r w:rsidRPr="00B6363E">
        <w:rPr>
          <w:rFonts w:ascii="Poppins" w:hAnsi="Poppins" w:cs="Poppins"/>
          <w:b/>
        </w:rPr>
        <w:t xml:space="preserve">Proposer’s solution: </w:t>
      </w:r>
      <w:r w:rsidR="0078618C" w:rsidRPr="0078618C">
        <w:rPr>
          <w:rFonts w:ascii="Poppins" w:hAnsi="Poppins" w:cs="Poppins"/>
          <w:iCs/>
          <w:color w:val="000000" w:themeColor="text1"/>
        </w:rPr>
        <w:t>The Proposer’s solution redefines Infrastructure Asset and Connection Asset to socialise, via TNUoS, the costs associated with shareable, now or in the future, Transmission Assets.</w:t>
      </w:r>
    </w:p>
    <w:p w14:paraId="0BF77CBD" w14:textId="77777777" w:rsidR="00AB01EE" w:rsidRDefault="00AB01EE" w:rsidP="00FC3055">
      <w:pPr>
        <w:spacing w:after="0"/>
        <w:rPr>
          <w:rFonts w:ascii="Poppins" w:hAnsi="Poppins" w:cs="Poppins"/>
          <w:b/>
        </w:rPr>
      </w:pPr>
    </w:p>
    <w:p w14:paraId="3079253E" w14:textId="30E34CC8" w:rsidR="00CA0621" w:rsidRPr="00B6363E" w:rsidRDefault="00CA0621" w:rsidP="00FC3055">
      <w:pPr>
        <w:spacing w:after="0"/>
        <w:rPr>
          <w:rFonts w:ascii="Poppins" w:hAnsi="Poppins" w:cs="Poppins"/>
          <w:i/>
          <w:color w:val="FF0000"/>
        </w:rPr>
      </w:pPr>
      <w:r w:rsidRPr="00B6363E">
        <w:rPr>
          <w:rFonts w:ascii="Poppins" w:hAnsi="Poppins" w:cs="Poppins"/>
          <w:b/>
        </w:rPr>
        <w:t>Implementation date:</w:t>
      </w:r>
      <w:r w:rsidRPr="00B6363E">
        <w:rPr>
          <w:rFonts w:ascii="Poppins" w:hAnsi="Poppins" w:cs="Poppins"/>
        </w:rPr>
        <w:t xml:space="preserve"> </w:t>
      </w:r>
      <w:r w:rsidR="00627789" w:rsidRPr="00627789">
        <w:rPr>
          <w:rFonts w:ascii="Poppins" w:hAnsi="Poppins" w:cs="Poppins"/>
          <w:iCs/>
          <w:color w:val="000000" w:themeColor="text1"/>
        </w:rPr>
        <w:t>01 April 2027</w:t>
      </w:r>
    </w:p>
    <w:p w14:paraId="32969969" w14:textId="77777777" w:rsidR="00AB01EE" w:rsidRDefault="00AB01EE" w:rsidP="00FC3055">
      <w:pPr>
        <w:spacing w:after="0"/>
        <w:rPr>
          <w:rFonts w:ascii="Poppins" w:hAnsi="Poppins" w:cs="Poppins"/>
          <w:b/>
          <w:noProof/>
        </w:rPr>
      </w:pPr>
    </w:p>
    <w:p w14:paraId="56881B79" w14:textId="77777777" w:rsidR="00CA0621" w:rsidRPr="00C951BC" w:rsidRDefault="00CA0621" w:rsidP="00FC3055">
      <w:pPr>
        <w:spacing w:after="0"/>
        <w:rPr>
          <w:rFonts w:ascii="Poppins" w:hAnsi="Poppins" w:cs="Poppins"/>
          <w:b/>
          <w:noProof/>
          <w:highlight w:val="yellow"/>
        </w:rPr>
      </w:pPr>
      <w:r w:rsidRPr="00C951BC">
        <w:rPr>
          <w:rFonts w:ascii="Poppins" w:hAnsi="Poppins" w:cs="Poppins"/>
          <w:b/>
          <w:noProof/>
          <w:highlight w:val="yellow"/>
        </w:rPr>
        <w:t xml:space="preserve">Summary of </w:t>
      </w:r>
      <w:r w:rsidR="00360490" w:rsidRPr="00C951BC">
        <w:rPr>
          <w:rFonts w:ascii="Poppins" w:hAnsi="Poppins" w:cs="Poppins"/>
          <w:b/>
          <w:noProof/>
          <w:highlight w:val="yellow"/>
        </w:rPr>
        <w:t>Alternative</w:t>
      </w:r>
      <w:r w:rsidRPr="00C951BC">
        <w:rPr>
          <w:rFonts w:ascii="Poppins" w:hAnsi="Poppins" w:cs="Poppins"/>
          <w:b/>
          <w:noProof/>
          <w:highlight w:val="yellow"/>
        </w:rPr>
        <w:t xml:space="preserve"> solution(s) and implementation date(s):</w:t>
      </w:r>
    </w:p>
    <w:p w14:paraId="3E92D1FD" w14:textId="197FC763" w:rsidR="00CA0621" w:rsidRPr="00DF6B87" w:rsidRDefault="00DF6B87" w:rsidP="00FC3055">
      <w:pPr>
        <w:spacing w:after="0"/>
        <w:rPr>
          <w:rFonts w:ascii="Poppins" w:hAnsi="Poppins" w:cs="Poppins"/>
          <w:iCs/>
          <w:color w:val="000000" w:themeColor="text1"/>
        </w:rPr>
      </w:pPr>
      <w:r w:rsidRPr="00C951BC">
        <w:rPr>
          <w:rFonts w:ascii="Poppins" w:hAnsi="Poppins" w:cs="Poppins"/>
          <w:iCs/>
          <w:color w:val="000000" w:themeColor="text1"/>
          <w:highlight w:val="yellow"/>
        </w:rPr>
        <w:t>TBD</w:t>
      </w:r>
    </w:p>
    <w:p w14:paraId="218EB95E" w14:textId="77777777" w:rsidR="00AB01EE" w:rsidRDefault="00AB01EE" w:rsidP="00FC3055">
      <w:pPr>
        <w:spacing w:after="0"/>
        <w:rPr>
          <w:rFonts w:ascii="Poppins" w:hAnsi="Poppins" w:cs="Poppins"/>
          <w:color w:val="3F0731"/>
        </w:rPr>
      </w:pPr>
    </w:p>
    <w:p w14:paraId="7B6A188C" w14:textId="77777777" w:rsidR="00CA0621" w:rsidRPr="00AB01EE" w:rsidRDefault="00CA0621" w:rsidP="00FC3055">
      <w:pPr>
        <w:spacing w:after="0"/>
        <w:rPr>
          <w:rFonts w:ascii="Poppins" w:hAnsi="Poppins" w:cs="Poppins"/>
          <w:b/>
          <w:bCs/>
          <w:color w:val="3F0731"/>
        </w:rPr>
      </w:pPr>
      <w:r w:rsidRPr="00AB01EE">
        <w:rPr>
          <w:rFonts w:ascii="Poppins" w:hAnsi="Poppins" w:cs="Poppins"/>
          <w:b/>
          <w:bCs/>
          <w:color w:val="3F0731"/>
        </w:rPr>
        <w:t>What is the impact if this change is made?</w:t>
      </w:r>
    </w:p>
    <w:p w14:paraId="45B4CB69" w14:textId="38F4F0B6" w:rsidR="00B6363E" w:rsidRDefault="00AF091B" w:rsidP="002713F2">
      <w:pPr>
        <w:spacing w:after="0"/>
        <w:rPr>
          <w:rFonts w:ascii="Poppins" w:hAnsi="Poppins" w:cs="Poppins"/>
          <w:iCs/>
          <w:color w:val="000000" w:themeColor="text1"/>
        </w:rPr>
      </w:pPr>
      <w:r w:rsidRPr="00AF091B">
        <w:rPr>
          <w:rFonts w:ascii="Poppins" w:hAnsi="Poppins" w:cs="Poppins"/>
          <w:iCs/>
          <w:color w:val="000000" w:themeColor="text1"/>
        </w:rPr>
        <w:t>If the modification is implemented, the impact will primarily be an increase in cost predictability and reduced financial risk for embedded distribution customers and DNOs. Overall, this change is expected to promote faster strategic grid development and enhance collaboration among Users, ultimately benefiting the whole energy system.</w:t>
      </w:r>
    </w:p>
    <w:p w14:paraId="1D61D427" w14:textId="77777777" w:rsidR="00DF6B87" w:rsidRDefault="00DF6B87" w:rsidP="002713F2">
      <w:pPr>
        <w:spacing w:after="0"/>
        <w:rPr>
          <w:rFonts w:ascii="Poppins" w:hAnsi="Poppins" w:cs="Poppins"/>
          <w:b/>
        </w:rPr>
      </w:pPr>
    </w:p>
    <w:p w14:paraId="2194B6AC" w14:textId="3497B49F" w:rsidR="002713F2" w:rsidRPr="00B6363E" w:rsidRDefault="002713F2" w:rsidP="002713F2">
      <w:pPr>
        <w:spacing w:after="0"/>
        <w:rPr>
          <w:rFonts w:ascii="Poppins" w:hAnsi="Poppins" w:cs="Poppins"/>
        </w:rPr>
      </w:pPr>
      <w:r w:rsidRPr="00B6363E">
        <w:rPr>
          <w:rFonts w:ascii="Poppins" w:hAnsi="Poppins" w:cs="Poppins"/>
          <w:b/>
        </w:rPr>
        <w:t xml:space="preserve">Workgroup conclusions: </w:t>
      </w:r>
      <w:bookmarkStart w:id="6" w:name="_Hlk50541475"/>
      <w:r w:rsidRPr="00B6363E">
        <w:rPr>
          <w:rFonts w:ascii="Poppins" w:hAnsi="Poppins" w:cs="Poppins"/>
        </w:rPr>
        <w:t xml:space="preserve">The Workgroup concluded </w:t>
      </w:r>
      <w:r w:rsidRPr="00B6363E">
        <w:rPr>
          <w:rFonts w:ascii="Poppins" w:hAnsi="Poppins" w:cs="Poppins"/>
          <w:highlight w:val="yellow"/>
        </w:rPr>
        <w:t>unanimously/by majority</w:t>
      </w:r>
      <w:r w:rsidRPr="00B6363E">
        <w:rPr>
          <w:rFonts w:ascii="Poppins" w:hAnsi="Poppins" w:cs="Poppins"/>
        </w:rPr>
        <w:t xml:space="preserve"> that the </w:t>
      </w:r>
      <w:r w:rsidRPr="00152018">
        <w:rPr>
          <w:rFonts w:ascii="Poppins" w:hAnsi="Poppins" w:cs="Poppins"/>
          <w:highlight w:val="yellow"/>
        </w:rPr>
        <w:t xml:space="preserve">Original </w:t>
      </w:r>
      <w:r w:rsidR="00152018" w:rsidRPr="00152018">
        <w:rPr>
          <w:rFonts w:ascii="Poppins" w:hAnsi="Poppins" w:cs="Poppins"/>
          <w:highlight w:val="yellow"/>
        </w:rPr>
        <w:t xml:space="preserve">/ </w:t>
      </w:r>
      <w:r w:rsidRPr="00152018">
        <w:rPr>
          <w:rFonts w:ascii="Poppins" w:hAnsi="Poppins" w:cs="Poppins"/>
          <w:highlight w:val="yellow"/>
        </w:rPr>
        <w:t>WAXXXX</w:t>
      </w:r>
      <w:r w:rsidRPr="00B6363E">
        <w:rPr>
          <w:rFonts w:ascii="Poppins" w:hAnsi="Poppins" w:cs="Poppins"/>
        </w:rPr>
        <w:t xml:space="preserve"> better facilitated the Applicable Objectives than the Baseline.</w:t>
      </w:r>
      <w:bookmarkEnd w:id="6"/>
    </w:p>
    <w:p w14:paraId="61309AE1" w14:textId="77777777" w:rsidR="00FC3055" w:rsidRDefault="00FC3055" w:rsidP="00FC3055">
      <w:pPr>
        <w:spacing w:after="0"/>
        <w:rPr>
          <w:rFonts w:ascii="Poppins" w:hAnsi="Poppins" w:cs="Poppins"/>
          <w:b/>
          <w:bCs/>
          <w:color w:val="3F0731"/>
        </w:rPr>
      </w:pPr>
    </w:p>
    <w:p w14:paraId="20B2A4FF" w14:textId="77777777" w:rsidR="00CA0621" w:rsidRPr="00D91432" w:rsidRDefault="00CA0621" w:rsidP="00FC3055">
      <w:pPr>
        <w:spacing w:after="0"/>
        <w:rPr>
          <w:rFonts w:ascii="Poppins" w:hAnsi="Poppins" w:cs="Poppins"/>
          <w:b/>
          <w:bCs/>
          <w:color w:val="3F0731"/>
        </w:rPr>
      </w:pPr>
      <w:r w:rsidRPr="00D91432">
        <w:rPr>
          <w:rFonts w:ascii="Poppins" w:hAnsi="Poppins" w:cs="Poppins"/>
          <w:b/>
          <w:bCs/>
          <w:color w:val="3F0731"/>
        </w:rPr>
        <w:t>Interactions</w:t>
      </w:r>
    </w:p>
    <w:p w14:paraId="6D1FEA17" w14:textId="77777777" w:rsidR="00B230F7" w:rsidRPr="00B230F7" w:rsidRDefault="00B230F7" w:rsidP="00B230F7">
      <w:pPr>
        <w:spacing w:after="0"/>
        <w:rPr>
          <w:rFonts w:ascii="Poppins" w:hAnsi="Poppins" w:cs="Poppins"/>
          <w:iCs/>
          <w:color w:val="000000" w:themeColor="text1"/>
        </w:rPr>
      </w:pPr>
      <w:r w:rsidRPr="00B230F7">
        <w:rPr>
          <w:rFonts w:ascii="Poppins" w:hAnsi="Poppins" w:cs="Poppins"/>
          <w:iCs/>
          <w:color w:val="000000" w:themeColor="text1"/>
        </w:rPr>
        <w:t>This modification interacts with several other industry initiatives, particularly in the context of network charging reforms. It requires coordination with the National Energy System (NESO) and Transmission Owners (TOs) to revise construction agreements. Additionally, it aligns with the Connections Review and other regulatory reforms aimed at improving the overall framework for network charging.</w:t>
      </w:r>
    </w:p>
    <w:p w14:paraId="7C647468" w14:textId="77777777" w:rsidR="00B230F7" w:rsidRPr="00B230F7" w:rsidRDefault="00B230F7" w:rsidP="00B230F7">
      <w:pPr>
        <w:spacing w:after="0"/>
        <w:rPr>
          <w:rFonts w:ascii="Poppins" w:hAnsi="Poppins" w:cs="Poppins"/>
          <w:iCs/>
          <w:color w:val="000000" w:themeColor="text1"/>
        </w:rPr>
      </w:pPr>
    </w:p>
    <w:p w14:paraId="126527EE" w14:textId="38F9263C" w:rsidR="00CA0621" w:rsidRDefault="00B230F7" w:rsidP="00B230F7">
      <w:pPr>
        <w:spacing w:after="0"/>
        <w:rPr>
          <w:rFonts w:ascii="Poppins" w:hAnsi="Poppins" w:cs="Poppins"/>
          <w:iCs/>
          <w:color w:val="000000" w:themeColor="text1"/>
        </w:rPr>
      </w:pPr>
      <w:r w:rsidRPr="00B230F7">
        <w:rPr>
          <w:rFonts w:ascii="Poppins" w:hAnsi="Poppins" w:cs="Poppins"/>
          <w:iCs/>
          <w:color w:val="000000" w:themeColor="text1"/>
        </w:rPr>
        <w:t>The solution must also consider coordination with NESO and TOs to revise construction agreements, alignment with the End-to-End Connections Review, and wider regulatory reforms to network charging.</w:t>
      </w:r>
    </w:p>
    <w:p w14:paraId="33BCF1A4" w14:textId="77777777" w:rsidR="00B230F7" w:rsidRPr="004E368A" w:rsidRDefault="00B230F7" w:rsidP="00B230F7">
      <w:pPr>
        <w:spacing w:after="0"/>
        <w:rPr>
          <w:rFonts w:ascii="Poppins" w:hAnsi="Poppins" w:cs="Poppins"/>
          <w:b/>
        </w:rPr>
      </w:pPr>
    </w:p>
    <w:p w14:paraId="4DB988A3" w14:textId="77777777" w:rsidR="00CA0621" w:rsidRPr="00DE2E99" w:rsidRDefault="00CA0621" w:rsidP="00CA0621">
      <w:pPr>
        <w:pStyle w:val="CA2"/>
        <w:pBdr>
          <w:bottom w:val="single" w:sz="4" w:space="1" w:color="auto"/>
        </w:pBdr>
        <w:shd w:val="clear" w:color="auto" w:fill="3F0731"/>
        <w:rPr>
          <w:rFonts w:ascii="Poppins" w:hAnsi="Poppins" w:cs="Poppins"/>
        </w:rPr>
      </w:pPr>
      <w:bookmarkStart w:id="7" w:name="_Toc207608710"/>
      <w:r w:rsidRPr="00DE2E99">
        <w:rPr>
          <w:rFonts w:ascii="Poppins" w:hAnsi="Poppins" w:cs="Poppins"/>
        </w:rPr>
        <w:lastRenderedPageBreak/>
        <w:t>What is the issue?</w:t>
      </w:r>
      <w:bookmarkEnd w:id="4"/>
      <w:bookmarkEnd w:id="7"/>
    </w:p>
    <w:p w14:paraId="61BBB160" w14:textId="198484CD" w:rsidR="00191C99" w:rsidRPr="00ED6BAC" w:rsidRDefault="008940D7" w:rsidP="00191C99">
      <w:pPr>
        <w:pStyle w:val="Heading2"/>
        <w:rPr>
          <w:rFonts w:ascii="Poppins" w:hAnsi="Poppins" w:cs="Poppins"/>
          <w:i/>
          <w:color w:val="00B050"/>
          <w:szCs w:val="28"/>
        </w:rPr>
      </w:pPr>
      <w:bookmarkStart w:id="8" w:name="_Why_change?"/>
      <w:bookmarkStart w:id="9" w:name="_Toc207608711"/>
      <w:bookmarkStart w:id="10" w:name="_Toc58482272"/>
      <w:bookmarkEnd w:id="8"/>
      <w:r w:rsidRPr="00ED6BAC">
        <w:rPr>
          <w:rFonts w:ascii="Poppins" w:hAnsi="Poppins" w:cs="Poppins"/>
          <w:color w:val="3F0731"/>
          <w:szCs w:val="28"/>
        </w:rPr>
        <w:t xml:space="preserve">What is the defect the </w:t>
      </w:r>
      <w:r w:rsidR="0086745C" w:rsidRPr="00ED6BAC">
        <w:rPr>
          <w:rFonts w:ascii="Poppins" w:hAnsi="Poppins" w:cs="Poppins"/>
          <w:color w:val="3F0731"/>
          <w:szCs w:val="28"/>
        </w:rPr>
        <w:t xml:space="preserve">Proposer </w:t>
      </w:r>
      <w:r w:rsidRPr="00ED6BAC">
        <w:rPr>
          <w:rFonts w:ascii="Poppins" w:hAnsi="Poppins" w:cs="Poppins"/>
          <w:color w:val="3F0731"/>
          <w:szCs w:val="28"/>
        </w:rPr>
        <w:t xml:space="preserve">believes this </w:t>
      </w:r>
      <w:r w:rsidR="00191C99" w:rsidRPr="00ED6BAC">
        <w:rPr>
          <w:rFonts w:ascii="Poppins" w:hAnsi="Poppins" w:cs="Poppins"/>
          <w:color w:val="3F0731"/>
          <w:szCs w:val="28"/>
        </w:rPr>
        <w:t xml:space="preserve">modification </w:t>
      </w:r>
      <w:r w:rsidR="00A80D21" w:rsidRPr="00ED6BAC">
        <w:rPr>
          <w:rFonts w:ascii="Poppins" w:hAnsi="Poppins" w:cs="Poppins"/>
          <w:color w:val="3F0731"/>
          <w:szCs w:val="28"/>
        </w:rPr>
        <w:t xml:space="preserve">will </w:t>
      </w:r>
      <w:r w:rsidR="00191C99" w:rsidRPr="00ED6BAC">
        <w:rPr>
          <w:rFonts w:ascii="Poppins" w:hAnsi="Poppins" w:cs="Poppins"/>
          <w:color w:val="3F0731"/>
          <w:szCs w:val="28"/>
        </w:rPr>
        <w:t>address?</w:t>
      </w:r>
      <w:bookmarkEnd w:id="9"/>
    </w:p>
    <w:p w14:paraId="2344A64C" w14:textId="77777777" w:rsidR="00706973" w:rsidRPr="00706973" w:rsidRDefault="00706973" w:rsidP="00706973">
      <w:pPr>
        <w:tabs>
          <w:tab w:val="left" w:pos="2820"/>
        </w:tabs>
        <w:spacing w:line="240" w:lineRule="auto"/>
        <w:rPr>
          <w:rFonts w:ascii="Poppins" w:hAnsi="Poppins" w:cs="Poppins"/>
          <w:kern w:val="0"/>
          <w14:ligatures w14:val="none"/>
        </w:rPr>
      </w:pPr>
      <w:bookmarkStart w:id="11" w:name="_Toc207608712"/>
      <w:r w:rsidRPr="00706973">
        <w:rPr>
          <w:rFonts w:ascii="Poppins" w:hAnsi="Poppins" w:cs="Poppins"/>
          <w:kern w:val="0"/>
          <w14:ligatures w14:val="none"/>
        </w:rPr>
        <w:t xml:space="preserve">The current transmission charging framework creates significant financial and procedural challenges for embedded distribution customers, particularly when Super Grid Transformer (SGT) reinforcement is triggered at GSPs. These reinforcements are often classified as Connection Assets, meaning the full cost is passed directly to the DNO, even when the reinforcement benefits multiple Users or supports strategic grid development. However, DNOs currently lack a clear, regulated framework to pass these costs through to the initiating customer or to share them across future Users. This results in: </w:t>
      </w:r>
    </w:p>
    <w:p w14:paraId="1BAC72B9" w14:textId="77777777" w:rsidR="00706973" w:rsidRPr="00706973" w:rsidRDefault="00706973" w:rsidP="00706973">
      <w:pPr>
        <w:pStyle w:val="ListParagraph"/>
        <w:numPr>
          <w:ilvl w:val="0"/>
          <w:numId w:val="35"/>
        </w:numPr>
        <w:tabs>
          <w:tab w:val="left" w:pos="2820"/>
        </w:tabs>
        <w:spacing w:line="240" w:lineRule="auto"/>
        <w:rPr>
          <w:rFonts w:ascii="Poppins" w:hAnsi="Poppins" w:cs="Poppins"/>
          <w:kern w:val="0"/>
          <w14:ligatures w14:val="none"/>
        </w:rPr>
      </w:pPr>
      <w:r w:rsidRPr="00706973">
        <w:rPr>
          <w:rFonts w:ascii="Poppins" w:hAnsi="Poppins" w:cs="Poppins"/>
          <w:b/>
          <w:kern w:val="0"/>
          <w14:ligatures w14:val="none"/>
        </w:rPr>
        <w:t>Cost uncertainty</w:t>
      </w:r>
      <w:r w:rsidRPr="00706973">
        <w:rPr>
          <w:rFonts w:ascii="Poppins" w:hAnsi="Poppins" w:cs="Poppins"/>
          <w:kern w:val="0"/>
          <w14:ligatures w14:val="none"/>
        </w:rPr>
        <w:t xml:space="preserve"> for embedded Generators and Demand customers, who may face unpredictable and disproportionate charges.</w:t>
      </w:r>
    </w:p>
    <w:p w14:paraId="41B9F720" w14:textId="77777777" w:rsidR="00706973" w:rsidRPr="00706973" w:rsidRDefault="00706973" w:rsidP="00706973">
      <w:pPr>
        <w:pStyle w:val="ListParagraph"/>
        <w:numPr>
          <w:ilvl w:val="0"/>
          <w:numId w:val="35"/>
        </w:numPr>
        <w:tabs>
          <w:tab w:val="left" w:pos="2820"/>
        </w:tabs>
        <w:spacing w:line="240" w:lineRule="auto"/>
        <w:rPr>
          <w:rFonts w:ascii="Poppins" w:hAnsi="Poppins" w:cs="Poppins"/>
          <w:kern w:val="0"/>
          <w14:ligatures w14:val="none"/>
        </w:rPr>
      </w:pPr>
      <w:r w:rsidRPr="00706973">
        <w:rPr>
          <w:rFonts w:ascii="Poppins" w:hAnsi="Poppins" w:cs="Poppins"/>
          <w:b/>
          <w:kern w:val="0"/>
          <w14:ligatures w14:val="none"/>
        </w:rPr>
        <w:t>Financial exposure</w:t>
      </w:r>
      <w:r w:rsidRPr="00706973">
        <w:rPr>
          <w:rFonts w:ascii="Poppins" w:hAnsi="Poppins" w:cs="Poppins"/>
          <w:kern w:val="0"/>
          <w14:ligatures w14:val="none"/>
        </w:rPr>
        <w:t xml:space="preserve"> for DNOs, who must absorb multi-million-pound liabilities without a recovery mechanism.</w:t>
      </w:r>
    </w:p>
    <w:p w14:paraId="164A7140" w14:textId="77777777" w:rsidR="00706973" w:rsidRPr="00706973" w:rsidRDefault="00706973" w:rsidP="00706973">
      <w:pPr>
        <w:pStyle w:val="ListParagraph"/>
        <w:numPr>
          <w:ilvl w:val="0"/>
          <w:numId w:val="35"/>
        </w:numPr>
        <w:tabs>
          <w:tab w:val="left" w:pos="2820"/>
        </w:tabs>
        <w:spacing w:line="240" w:lineRule="auto"/>
        <w:rPr>
          <w:rFonts w:ascii="Poppins" w:hAnsi="Poppins" w:cs="Poppins"/>
          <w:kern w:val="0"/>
          <w14:ligatures w14:val="none"/>
        </w:rPr>
      </w:pPr>
      <w:r w:rsidRPr="00706973">
        <w:rPr>
          <w:rFonts w:ascii="Poppins" w:hAnsi="Poppins" w:cs="Poppins"/>
          <w:b/>
          <w:kern w:val="0"/>
          <w14:ligatures w14:val="none"/>
        </w:rPr>
        <w:t>Inconsistent treatment</w:t>
      </w:r>
      <w:r w:rsidRPr="00706973">
        <w:rPr>
          <w:rFonts w:ascii="Poppins" w:hAnsi="Poppins" w:cs="Poppins"/>
          <w:kern w:val="0"/>
          <w14:ligatures w14:val="none"/>
        </w:rPr>
        <w:t xml:space="preserve"> across regions and voltage levels, depending on how assets are classified e.g. as Transmission Connection Assets or Infrastructure Assets. </w:t>
      </w:r>
    </w:p>
    <w:p w14:paraId="40E769EF" w14:textId="77777777" w:rsidR="00706973" w:rsidRPr="00706973" w:rsidRDefault="00706973" w:rsidP="00706973">
      <w:pPr>
        <w:pStyle w:val="ListParagraph"/>
        <w:numPr>
          <w:ilvl w:val="0"/>
          <w:numId w:val="35"/>
        </w:numPr>
        <w:tabs>
          <w:tab w:val="left" w:pos="2820"/>
        </w:tabs>
        <w:spacing w:line="240" w:lineRule="auto"/>
        <w:rPr>
          <w:rFonts w:ascii="Poppins" w:hAnsi="Poppins" w:cs="Poppins"/>
          <w:kern w:val="0"/>
          <w14:ligatures w14:val="none"/>
        </w:rPr>
      </w:pPr>
      <w:r w:rsidRPr="00706973">
        <w:rPr>
          <w:rFonts w:ascii="Poppins" w:hAnsi="Poppins" w:cs="Poppins"/>
          <w:b/>
          <w:kern w:val="0"/>
          <w14:ligatures w14:val="none"/>
        </w:rPr>
        <w:t>Investment deterrence</w:t>
      </w:r>
      <w:r w:rsidRPr="00706973">
        <w:rPr>
          <w:rFonts w:ascii="Poppins" w:hAnsi="Poppins" w:cs="Poppins"/>
          <w:kern w:val="0"/>
          <w14:ligatures w14:val="none"/>
        </w:rPr>
        <w:t>, especially for low-carbon and community energy projects that cannot absorb significant liabilities.</w:t>
      </w:r>
    </w:p>
    <w:p w14:paraId="08D7CCD2" w14:textId="77777777" w:rsidR="00706973" w:rsidRPr="00706973" w:rsidRDefault="00706973" w:rsidP="00706973">
      <w:pPr>
        <w:pStyle w:val="ListParagraph"/>
        <w:numPr>
          <w:ilvl w:val="0"/>
          <w:numId w:val="35"/>
        </w:numPr>
        <w:tabs>
          <w:tab w:val="left" w:pos="2820"/>
        </w:tabs>
        <w:spacing w:line="240" w:lineRule="auto"/>
        <w:rPr>
          <w:rFonts w:ascii="Poppins" w:hAnsi="Poppins" w:cs="Poppins"/>
          <w:kern w:val="0"/>
          <w14:ligatures w14:val="none"/>
        </w:rPr>
      </w:pPr>
      <w:r w:rsidRPr="00706973">
        <w:rPr>
          <w:rFonts w:ascii="Poppins" w:hAnsi="Poppins" w:cs="Poppins"/>
          <w:b/>
          <w:kern w:val="0"/>
          <w14:ligatures w14:val="none"/>
        </w:rPr>
        <w:t>Misalignment</w:t>
      </w:r>
      <w:r w:rsidRPr="00706973">
        <w:rPr>
          <w:rFonts w:ascii="Poppins" w:hAnsi="Poppins" w:cs="Poppins"/>
          <w:kern w:val="0"/>
          <w14:ligatures w14:val="none"/>
        </w:rPr>
        <w:t xml:space="preserve"> with distribution charging principles, where second-comer rules and cost apportionment are standard practice.</w:t>
      </w:r>
    </w:p>
    <w:p w14:paraId="59D94358" w14:textId="77777777" w:rsidR="00706973" w:rsidRPr="00706973" w:rsidRDefault="00706973" w:rsidP="00706973">
      <w:pPr>
        <w:pStyle w:val="ListParagraph"/>
        <w:numPr>
          <w:ilvl w:val="0"/>
          <w:numId w:val="35"/>
        </w:numPr>
        <w:tabs>
          <w:tab w:val="left" w:pos="2820"/>
        </w:tabs>
        <w:spacing w:line="240" w:lineRule="auto"/>
        <w:rPr>
          <w:rFonts w:ascii="Poppins" w:hAnsi="Poppins" w:cs="Poppins"/>
          <w:kern w:val="0"/>
          <w14:ligatures w14:val="none"/>
        </w:rPr>
      </w:pPr>
      <w:r w:rsidRPr="00706973">
        <w:rPr>
          <w:rFonts w:ascii="Poppins" w:hAnsi="Poppins" w:cs="Poppins"/>
          <w:b/>
          <w:kern w:val="0"/>
          <w14:ligatures w14:val="none"/>
        </w:rPr>
        <w:t>Strategic grid development delays</w:t>
      </w:r>
      <w:r w:rsidRPr="00706973">
        <w:rPr>
          <w:rFonts w:ascii="Poppins" w:hAnsi="Poppins" w:cs="Poppins"/>
          <w:kern w:val="0"/>
          <w14:ligatures w14:val="none"/>
        </w:rPr>
        <w:t xml:space="preserve">, as reinforcement decisions are deferred due to unclear funding pathways. </w:t>
      </w:r>
    </w:p>
    <w:p w14:paraId="7EF96380" w14:textId="77777777" w:rsidR="00706973" w:rsidRPr="00706973" w:rsidRDefault="00706973" w:rsidP="00706973">
      <w:pPr>
        <w:tabs>
          <w:tab w:val="left" w:pos="2820"/>
        </w:tabs>
        <w:spacing w:line="240" w:lineRule="auto"/>
        <w:rPr>
          <w:rFonts w:ascii="Poppins" w:hAnsi="Poppins" w:cs="Poppins"/>
          <w:kern w:val="0"/>
          <w14:ligatures w14:val="none"/>
        </w:rPr>
      </w:pPr>
      <w:r w:rsidRPr="00706973">
        <w:rPr>
          <w:rFonts w:ascii="Poppins" w:hAnsi="Poppins" w:cs="Poppins"/>
          <w:kern w:val="0"/>
          <w14:ligatures w14:val="none"/>
        </w:rPr>
        <w:t xml:space="preserve">Where distribution customers trigger Transmission Reinforcement at ‘Connection Asset’ sites, the cost is passed on by NESO to the relevant DNO, and from the DNO to the customer, or group of customers, who trigger the works. The cost of these works identified at a wide number of GSPs currently ranges from £12m to £60m per GSP, usually too much for individual distribution connections to fund. Many DNOs have determined that if a group of customers triggers the Transmission Reinforcement, the cost is split proportionally between those customers, pro rata on their capacity. This means that if customers in the group terminate their </w:t>
      </w:r>
      <w:r w:rsidRPr="00706973">
        <w:rPr>
          <w:rFonts w:ascii="Poppins" w:hAnsi="Poppins" w:cs="Poppins"/>
          <w:kern w:val="0"/>
          <w14:ligatures w14:val="none"/>
        </w:rPr>
        <w:lastRenderedPageBreak/>
        <w:t>offers, the remaining customers pick up a higher proportion of the cost, until theoretically one customer could be left to fund the full cost.</w:t>
      </w:r>
    </w:p>
    <w:p w14:paraId="406B3237" w14:textId="77777777" w:rsidR="00706973" w:rsidRPr="00706973" w:rsidRDefault="00706973" w:rsidP="00706973">
      <w:pPr>
        <w:tabs>
          <w:tab w:val="left" w:pos="2820"/>
        </w:tabs>
        <w:spacing w:line="240" w:lineRule="auto"/>
        <w:rPr>
          <w:rFonts w:ascii="Poppins" w:hAnsi="Poppins" w:cs="Poppins"/>
          <w:kern w:val="0"/>
          <w14:ligatures w14:val="none"/>
        </w:rPr>
      </w:pPr>
      <w:r w:rsidRPr="00706973">
        <w:rPr>
          <w:rFonts w:ascii="Poppins" w:hAnsi="Poppins" w:cs="Poppins"/>
          <w:kern w:val="0"/>
          <w14:ligatures w14:val="none"/>
        </w:rPr>
        <w:t>Some DNOs have sought funding through distribution price controls for Transmission Reinforcement. Most Transmission Reinforcement included in the distribution price controls is for gradual growth in Demand, rather than by step changes in Demand caused by individual connections.</w:t>
      </w:r>
    </w:p>
    <w:p w14:paraId="6B72469D" w14:textId="77777777" w:rsidR="00706973" w:rsidRPr="00706973" w:rsidRDefault="00706973" w:rsidP="00706973">
      <w:pPr>
        <w:tabs>
          <w:tab w:val="left" w:pos="2820"/>
        </w:tabs>
        <w:spacing w:line="240" w:lineRule="auto"/>
        <w:rPr>
          <w:rFonts w:ascii="Poppins" w:hAnsi="Poppins" w:cs="Poppins"/>
          <w:kern w:val="0"/>
          <w14:ligatures w14:val="none"/>
        </w:rPr>
      </w:pPr>
      <w:r w:rsidRPr="00706973">
        <w:rPr>
          <w:rFonts w:ascii="Poppins" w:hAnsi="Poppins" w:cs="Poppins"/>
          <w:kern w:val="0"/>
          <w14:ligatures w14:val="none"/>
        </w:rPr>
        <w:t xml:space="preserve">At GSPs where there are two or more DNOs, or a DNO and another customer, the site is classified as an ‘infrastructure site’. At these sites, the cost of Transmission Reinforcement is socialised and funded through </w:t>
      </w:r>
      <w:r w:rsidRPr="00706973">
        <w:rPr>
          <w:rFonts w:ascii="Poppins" w:hAnsi="Poppins" w:cs="Poppins"/>
        </w:rPr>
        <w:t>TNUoS charges</w:t>
      </w:r>
      <w:r w:rsidRPr="00706973">
        <w:rPr>
          <w:rFonts w:ascii="Poppins" w:hAnsi="Poppins" w:cs="Poppins"/>
          <w:kern w:val="0"/>
          <w14:ligatures w14:val="none"/>
        </w:rPr>
        <w:t>.</w:t>
      </w:r>
    </w:p>
    <w:p w14:paraId="1A0BDEB0" w14:textId="77777777" w:rsidR="00706973" w:rsidRPr="00706973" w:rsidRDefault="00706973" w:rsidP="00706973">
      <w:pPr>
        <w:tabs>
          <w:tab w:val="left" w:pos="2820"/>
        </w:tabs>
        <w:spacing w:line="240" w:lineRule="auto"/>
        <w:rPr>
          <w:rFonts w:ascii="Poppins" w:hAnsi="Poppins" w:cs="Poppins"/>
          <w:kern w:val="0"/>
          <w14:ligatures w14:val="none"/>
        </w:rPr>
      </w:pPr>
      <w:r w:rsidRPr="00706973">
        <w:rPr>
          <w:rFonts w:ascii="Poppins" w:hAnsi="Poppins" w:cs="Poppins"/>
          <w:kern w:val="0"/>
          <w14:ligatures w14:val="none"/>
        </w:rPr>
        <w:t>At some GSPs, instead of offering multiple individual SGT tertiary winding connections, TOs have amended offers to provide a single SGT solely for the connecting customers, i.e. a ‘Grid Park’, for a group of three tertiary winding customers. The Grid Park SGT is classified as an Infrastructure Asset (because it is supplying multiple customers) and so it is funded through TNUoS charges. However, if those customers had applied as three embedded connections, they would have been charged for the SGT reinforcement as a Transmission Connection Asset.</w:t>
      </w:r>
    </w:p>
    <w:p w14:paraId="546ABDE8" w14:textId="77777777" w:rsidR="00706973" w:rsidRPr="00706973" w:rsidRDefault="00706973" w:rsidP="00706973">
      <w:pPr>
        <w:tabs>
          <w:tab w:val="left" w:pos="2820"/>
        </w:tabs>
        <w:spacing w:line="240" w:lineRule="auto"/>
        <w:rPr>
          <w:rFonts w:ascii="Poppins" w:hAnsi="Poppins" w:cs="Poppins"/>
          <w:kern w:val="0"/>
          <w14:ligatures w14:val="none"/>
        </w:rPr>
      </w:pPr>
      <w:r w:rsidRPr="00706973">
        <w:rPr>
          <w:rFonts w:ascii="Poppins" w:hAnsi="Poppins" w:cs="Poppins"/>
          <w:kern w:val="0"/>
          <w14:ligatures w14:val="none"/>
        </w:rPr>
        <w:t xml:space="preserve">Ofgem has previously identified this as an issue in the </w:t>
      </w:r>
      <w:hyperlink r:id="rId16" w:history="1">
        <w:r w:rsidRPr="00706973">
          <w:rPr>
            <w:rStyle w:val="Hyperlink"/>
            <w:rFonts w:ascii="Poppins" w:hAnsi="Poppins" w:cs="Poppins"/>
            <w:kern w:val="0"/>
            <w14:ligatures w14:val="none"/>
          </w:rPr>
          <w:t>June 2021 ‘Access and Forward-looking Charges Significant Code Review: consultation on minded positions’ document</w:t>
        </w:r>
      </w:hyperlink>
      <w:r w:rsidRPr="00706973">
        <w:rPr>
          <w:rFonts w:ascii="Poppins" w:hAnsi="Poppins" w:cs="Poppins"/>
          <w:kern w:val="0"/>
          <w14:ligatures w14:val="none"/>
        </w:rPr>
        <w:t>, sections 3.27 to 3.34.</w:t>
      </w:r>
    </w:p>
    <w:p w14:paraId="1E04616C" w14:textId="4DE32981" w:rsidR="00706973" w:rsidRPr="00706973" w:rsidRDefault="00706973" w:rsidP="00706973">
      <w:pPr>
        <w:tabs>
          <w:tab w:val="left" w:pos="2820"/>
        </w:tabs>
        <w:spacing w:line="240" w:lineRule="auto"/>
        <w:rPr>
          <w:rFonts w:ascii="Poppins" w:hAnsi="Poppins" w:cs="Poppins"/>
          <w:kern w:val="0"/>
          <w14:ligatures w14:val="none"/>
        </w:rPr>
      </w:pPr>
      <w:r w:rsidRPr="00706973">
        <w:rPr>
          <w:rFonts w:ascii="Poppins" w:hAnsi="Poppins" w:cs="Poppins"/>
          <w:kern w:val="0"/>
          <w14:ligatures w14:val="none"/>
        </w:rPr>
        <w:t xml:space="preserve">Ofgem again identified this issue in the </w:t>
      </w:r>
      <w:hyperlink r:id="rId17" w:history="1">
        <w:r w:rsidRPr="00706973">
          <w:rPr>
            <w:rStyle w:val="Hyperlink"/>
            <w:rFonts w:ascii="Poppins" w:hAnsi="Poppins" w:cs="Poppins"/>
            <w:kern w:val="0"/>
            <w14:ligatures w14:val="none"/>
          </w:rPr>
          <w:t>Connections Action Plan (CAP)</w:t>
        </w:r>
      </w:hyperlink>
      <w:r w:rsidRPr="00706973">
        <w:rPr>
          <w:rFonts w:ascii="Poppins" w:hAnsi="Poppins" w:cs="Poppins"/>
          <w:kern w:val="0"/>
          <w14:ligatures w14:val="none"/>
        </w:rPr>
        <w:t xml:space="preserve"> action 3.5c iv published in November 2023. The action defined in the CAP is</w:t>
      </w:r>
      <w:r w:rsidR="0064316B">
        <w:rPr>
          <w:rFonts w:ascii="Poppins" w:hAnsi="Poppins" w:cs="Poppins"/>
          <w:kern w:val="0"/>
          <w14:ligatures w14:val="none"/>
        </w:rPr>
        <w:t>:</w:t>
      </w:r>
    </w:p>
    <w:p w14:paraId="291A348B" w14:textId="77777777" w:rsidR="00706973" w:rsidRPr="00706973" w:rsidRDefault="00706973" w:rsidP="00706973">
      <w:pPr>
        <w:tabs>
          <w:tab w:val="left" w:pos="2820"/>
        </w:tabs>
        <w:spacing w:line="240" w:lineRule="auto"/>
        <w:jc w:val="center"/>
        <w:rPr>
          <w:rFonts w:ascii="Poppins" w:hAnsi="Poppins" w:cs="Poppins"/>
          <w:kern w:val="0"/>
          <w14:ligatures w14:val="none"/>
        </w:rPr>
      </w:pPr>
      <w:r w:rsidRPr="00706973">
        <w:rPr>
          <w:rFonts w:ascii="Poppins" w:hAnsi="Poppins" w:cs="Poppins"/>
          <w:i/>
          <w:kern w:val="0"/>
          <w14:ligatures w14:val="none"/>
        </w:rPr>
        <w:t>‘ESO and network companies to continue to identify, and take actions to resolve, areas where a lack of consistency or standardisation is leading to poor outcomes for customers and/or the wider electricity system.’</w:t>
      </w:r>
    </w:p>
    <w:p w14:paraId="55D3A048" w14:textId="0CBBE756" w:rsidR="004A12C1" w:rsidRPr="00706973" w:rsidRDefault="00706973" w:rsidP="00706973">
      <w:pPr>
        <w:tabs>
          <w:tab w:val="left" w:pos="2820"/>
        </w:tabs>
        <w:spacing w:line="240" w:lineRule="auto"/>
        <w:rPr>
          <w:rFonts w:ascii="Poppins" w:hAnsi="Poppins" w:cs="Poppins"/>
          <w:kern w:val="0"/>
          <w14:ligatures w14:val="none"/>
        </w:rPr>
      </w:pPr>
      <w:r w:rsidRPr="00706973">
        <w:rPr>
          <w:rFonts w:ascii="Poppins" w:hAnsi="Poppins" w:cs="Poppins"/>
          <w:kern w:val="0"/>
          <w14:ligatures w14:val="none"/>
        </w:rPr>
        <w:t xml:space="preserve">The Energy Networks Association (ENA) Strategic Connections Group (SCG) developed 6 possible solutions (A-F), which were presented to the Connections Delivery Board (CDB) in April 2024. The CAP, the work completed by the SCG, and the steer from the CDB clearly indicate there is an issue that industry needs to resolve. This Proposal aims to complete action 3.5c iv - ensuring consistency including the allocation of costs - from the CAP and conclude the work started by the SCG. </w:t>
      </w:r>
    </w:p>
    <w:p w14:paraId="5E67277A" w14:textId="7C2FEE3D" w:rsidR="00CA0621" w:rsidRPr="004A12C1" w:rsidRDefault="00CA0621" w:rsidP="00CA0621">
      <w:pPr>
        <w:pStyle w:val="Heading2"/>
        <w:rPr>
          <w:rFonts w:ascii="Poppins" w:hAnsi="Poppins" w:cs="Poppins"/>
          <w:color w:val="000000" w:themeColor="text1"/>
          <w:szCs w:val="28"/>
        </w:rPr>
      </w:pPr>
      <w:r w:rsidRPr="004A12C1">
        <w:rPr>
          <w:rFonts w:ascii="Poppins" w:hAnsi="Poppins" w:cs="Poppins"/>
          <w:color w:val="000000" w:themeColor="text1"/>
          <w:szCs w:val="28"/>
        </w:rPr>
        <w:lastRenderedPageBreak/>
        <w:t>Why change?</w:t>
      </w:r>
      <w:bookmarkEnd w:id="11"/>
    </w:p>
    <w:bookmarkEnd w:id="10"/>
    <w:p w14:paraId="59B0000A" w14:textId="77777777" w:rsidR="00E2715D" w:rsidRPr="00E2715D" w:rsidRDefault="00E2715D" w:rsidP="00E2715D">
      <w:pPr>
        <w:rPr>
          <w:rFonts w:ascii="Poppins" w:hAnsi="Poppins" w:cs="Poppins"/>
          <w:color w:val="000000" w:themeColor="text1"/>
        </w:rPr>
      </w:pPr>
      <w:r w:rsidRPr="00E2715D">
        <w:rPr>
          <w:rFonts w:ascii="Poppins" w:hAnsi="Poppins" w:cs="Poppins"/>
          <w:color w:val="000000" w:themeColor="text1"/>
        </w:rPr>
        <w:t>In recent years, there has been a considerable increase in requirements for new or upgraded Transmission Assets, leading to an increase of attributable enabling Transmission Reinforcement works across Great Britain (GB). This increase can largely be attributed to the significant increase in connection applications across both the transmission and distribution systems.</w:t>
      </w:r>
    </w:p>
    <w:p w14:paraId="4FFE5DF8" w14:textId="77777777" w:rsidR="00E2715D" w:rsidRPr="00E2715D" w:rsidRDefault="00E2715D" w:rsidP="00E2715D">
      <w:pPr>
        <w:rPr>
          <w:rFonts w:ascii="Poppins" w:hAnsi="Poppins" w:cs="Poppins"/>
          <w:color w:val="000000" w:themeColor="text1"/>
        </w:rPr>
      </w:pPr>
      <w:r w:rsidRPr="00E2715D">
        <w:rPr>
          <w:rFonts w:ascii="Poppins" w:hAnsi="Poppins" w:cs="Poppins"/>
          <w:color w:val="000000" w:themeColor="text1"/>
        </w:rPr>
        <w:t>The lack of transparency and predictability of Transmission Connection Asset Charging undermines investor confidence, creates regional disparities, and slows progress toward net-zero targets.</w:t>
      </w:r>
    </w:p>
    <w:p w14:paraId="6C67C0DE" w14:textId="77777777" w:rsidR="00E2715D" w:rsidRPr="00E2715D" w:rsidRDefault="00E2715D" w:rsidP="00E2715D">
      <w:pPr>
        <w:rPr>
          <w:rFonts w:ascii="Poppins" w:hAnsi="Poppins" w:cs="Poppins"/>
          <w:color w:val="000000" w:themeColor="text1"/>
        </w:rPr>
      </w:pPr>
      <w:r w:rsidRPr="00E2715D">
        <w:rPr>
          <w:rFonts w:ascii="Poppins" w:hAnsi="Poppins" w:cs="Poppins"/>
          <w:color w:val="000000" w:themeColor="text1"/>
        </w:rPr>
        <w:t>The current transmission charging framework for SGT reinforcement at GSPs is structurally misaligned with the principles of fairness, efficiency, and strategic planning that underpin distribution charging. It places the full cost of transmission upgrades on the first distribution-connected customer, often a low-carbon Generator or large-scale Demand User, without any mechanism for cost recovery from future beneficiaries. This creates a high-risk, high-cost environment that actively deters investment and undermines the UK’s decarbonisation goals.</w:t>
      </w:r>
    </w:p>
    <w:p w14:paraId="635EF351" w14:textId="77777777" w:rsidR="00E2715D" w:rsidRPr="00E2715D" w:rsidRDefault="00E2715D" w:rsidP="00E2715D">
      <w:pPr>
        <w:rPr>
          <w:rFonts w:ascii="Poppins" w:hAnsi="Poppins" w:cs="Poppins"/>
          <w:color w:val="000000" w:themeColor="text1"/>
        </w:rPr>
      </w:pPr>
      <w:r w:rsidRPr="00E2715D">
        <w:rPr>
          <w:rFonts w:ascii="Poppins" w:hAnsi="Poppins" w:cs="Poppins"/>
          <w:color w:val="000000" w:themeColor="text1"/>
        </w:rPr>
        <w:t>Evidence from National Grid Electricity Distribution (NGED’s) internal analysis shows that approximately 60% of their GSPs are classified as Connection Assets, meaning all associated transmission costs are passed directly to distribution customers. This classification results in a postcode lottery, where customers connecting to infrastructure sites benefit from socialised costs via TNUoS, while those at connection sites face multi-million-pound liabilities. The inconsistency is compounded by regional variations in Transmission Asset classification and DNO charging practices, leading to unpredictable outcomes and distorted locational signals.</w:t>
      </w:r>
    </w:p>
    <w:p w14:paraId="4CA94F34" w14:textId="77777777" w:rsidR="00E2715D" w:rsidRPr="00E2715D" w:rsidRDefault="00E2715D" w:rsidP="00E2715D">
      <w:pPr>
        <w:rPr>
          <w:rFonts w:ascii="Poppins" w:hAnsi="Poppins" w:cs="Poppins"/>
          <w:color w:val="000000" w:themeColor="text1"/>
        </w:rPr>
      </w:pPr>
      <w:r w:rsidRPr="00E2715D">
        <w:rPr>
          <w:rFonts w:ascii="Poppins" w:hAnsi="Poppins" w:cs="Poppins"/>
          <w:color w:val="000000" w:themeColor="text1"/>
        </w:rPr>
        <w:t xml:space="preserve">The lack of second-comer rules at the transmission level further exacerbates the problem. Unlike distribution charging, where cost apportionment and recovery mechanisms are well established, transmission-connected customers bear the </w:t>
      </w:r>
      <w:r w:rsidRPr="00E2715D">
        <w:rPr>
          <w:rFonts w:ascii="Poppins" w:hAnsi="Poppins" w:cs="Poppins"/>
          <w:color w:val="000000" w:themeColor="text1"/>
        </w:rPr>
        <w:lastRenderedPageBreak/>
        <w:t>full cost of reinforcement even when future Users will benefit. This not only penalises early movers but also delays strategic grid development, as DNOs defer reinforcement decisions due to unclear funding pathways.</w:t>
      </w:r>
    </w:p>
    <w:p w14:paraId="1650637F" w14:textId="77777777" w:rsidR="00E2715D" w:rsidRPr="00E2715D" w:rsidRDefault="00E2715D" w:rsidP="00E2715D">
      <w:pPr>
        <w:rPr>
          <w:rFonts w:ascii="Poppins" w:hAnsi="Poppins" w:cs="Poppins"/>
          <w:color w:val="000000" w:themeColor="text1"/>
        </w:rPr>
      </w:pPr>
      <w:r w:rsidRPr="00E2715D">
        <w:rPr>
          <w:rFonts w:ascii="Poppins" w:hAnsi="Poppins" w:cs="Poppins"/>
          <w:color w:val="000000" w:themeColor="text1"/>
        </w:rPr>
        <w:t>This modification is not just a technical fix—it’s a strategic enabler. It removes barriers to investment, supports coordinated grid planning, and ensures that the costs of enabling infrastructure are shared equitably across beneficiaries. It also complements wider reforms such as the End-to-End Connections Review and the development of Distribution System Operator (DSO) markets.</w:t>
      </w:r>
    </w:p>
    <w:p w14:paraId="2505BE4E" w14:textId="77777777" w:rsidR="00E2715D" w:rsidRPr="00E2715D" w:rsidRDefault="00E2715D" w:rsidP="00E2715D">
      <w:pPr>
        <w:rPr>
          <w:rFonts w:ascii="Poppins" w:hAnsi="Poppins" w:cs="Poppins"/>
          <w:color w:val="000000" w:themeColor="text1"/>
        </w:rPr>
      </w:pPr>
      <w:r w:rsidRPr="00E2715D">
        <w:rPr>
          <w:rFonts w:ascii="Poppins" w:hAnsi="Poppins" w:cs="Poppins"/>
          <w:color w:val="000000" w:themeColor="text1"/>
        </w:rPr>
        <w:t>The Gate 2 to Whole Queue (G2TWQ) process implemented via CMP435: ‘Application of Gate 2 Criteria to existing contracted background’, is likely to reduce the size of the connection queue and therefore, reduce the number of GSPs that need transmission Connection Assets to be built. Although the relative magnitude of the issue may be reduced the Proposer still expects many GSPs to be impacted and the value of Transmission Connection Asset works to be £100m’s after the G2TWQ process has concluded. Projects which are still in the queue and impacted by this issue will likely be ‘ready to connect’ and therefore the issue may have a greater impact on their commercial decision making.</w:t>
      </w:r>
    </w:p>
    <w:p w14:paraId="68626E88" w14:textId="77777777" w:rsidR="00E2715D" w:rsidRPr="00E2715D" w:rsidRDefault="00E2715D" w:rsidP="00E2715D">
      <w:pPr>
        <w:rPr>
          <w:rFonts w:ascii="Poppins" w:hAnsi="Poppins" w:cs="Poppins"/>
          <w:color w:val="000000" w:themeColor="text1"/>
        </w:rPr>
      </w:pPr>
      <w:r w:rsidRPr="00E2715D">
        <w:rPr>
          <w:rFonts w:ascii="Poppins" w:hAnsi="Poppins" w:cs="Poppins"/>
          <w:color w:val="000000" w:themeColor="text1"/>
        </w:rPr>
        <w:t xml:space="preserve">The Proposer has requested data from National Grid Electricity Transmission (NGET) on the number of GSPs impacted before and after G2TWQ. </w:t>
      </w:r>
    </w:p>
    <w:p w14:paraId="36624D29" w14:textId="2E8B77DA" w:rsidR="004E2AB5" w:rsidRPr="004A12C1" w:rsidRDefault="00E2715D" w:rsidP="004E2AB5">
      <w:pPr>
        <w:rPr>
          <w:rFonts w:ascii="Poppins" w:hAnsi="Poppins" w:cs="Poppins"/>
          <w:color w:val="000000" w:themeColor="text1"/>
        </w:rPr>
      </w:pPr>
      <w:r w:rsidRPr="00E2715D">
        <w:rPr>
          <w:rFonts w:ascii="Poppins" w:hAnsi="Poppins" w:cs="Poppins"/>
          <w:color w:val="000000" w:themeColor="text1"/>
        </w:rPr>
        <w:t>In short, reforming the transmission charging boundary is essential to unlock the full potential of the UK’s energy transition. It will create a level playing field for all customers, accelerate low-carbon deployment, and ensure that grid development keeps pace with Demand in a fair, efficient, and future-proofed way.</w:t>
      </w:r>
      <w:r w:rsidR="004E2AB5" w:rsidRPr="004A12C1">
        <w:rPr>
          <w:rFonts w:ascii="Poppins" w:hAnsi="Poppins" w:cs="Poppins"/>
          <w:color w:val="000000" w:themeColor="text1"/>
        </w:rPr>
        <w:t xml:space="preserve"> </w:t>
      </w:r>
    </w:p>
    <w:p w14:paraId="34BBC6F7" w14:textId="776CFAA3" w:rsidR="00B1500F" w:rsidRPr="005D6DA1" w:rsidRDefault="00B1500F" w:rsidP="00B1500F">
      <w:pPr>
        <w:pStyle w:val="CA3"/>
        <w:shd w:val="clear" w:color="auto" w:fill="3F0731"/>
        <w:rPr>
          <w:rFonts w:ascii="Poppins" w:hAnsi="Poppins" w:cs="Poppins"/>
        </w:rPr>
      </w:pPr>
      <w:bookmarkStart w:id="12" w:name="_Toc186807895"/>
      <w:bookmarkStart w:id="13" w:name="_Toc207608713"/>
      <w:r w:rsidRPr="005D6DA1">
        <w:rPr>
          <w:rFonts w:ascii="Poppins" w:hAnsi="Poppins" w:cs="Poppins"/>
        </w:rPr>
        <w:lastRenderedPageBreak/>
        <w:t>What is the solution?</w:t>
      </w:r>
      <w:bookmarkEnd w:id="12"/>
      <w:bookmarkEnd w:id="13"/>
    </w:p>
    <w:p w14:paraId="22CCC5CD" w14:textId="77777777" w:rsidR="00B1500F" w:rsidRPr="005D6DA1" w:rsidRDefault="00B1500F" w:rsidP="00B1500F">
      <w:pPr>
        <w:pStyle w:val="Heading2"/>
        <w:rPr>
          <w:rFonts w:ascii="Poppins" w:hAnsi="Poppins" w:cs="Poppins"/>
        </w:rPr>
      </w:pPr>
      <w:bookmarkStart w:id="14" w:name="_Toc186807896"/>
      <w:bookmarkStart w:id="15" w:name="_Toc207608714"/>
      <w:r w:rsidRPr="005D6DA1">
        <w:rPr>
          <w:rFonts w:ascii="Poppins" w:hAnsi="Poppins" w:cs="Poppins"/>
        </w:rPr>
        <w:t>Proposer’s Original solution</w:t>
      </w:r>
      <w:bookmarkEnd w:id="14"/>
      <w:bookmarkEnd w:id="15"/>
    </w:p>
    <w:p w14:paraId="0ABAD2FF" w14:textId="77777777" w:rsidR="007724CB" w:rsidRPr="007724CB" w:rsidRDefault="007724CB" w:rsidP="007724CB">
      <w:pPr>
        <w:rPr>
          <w:rFonts w:ascii="Poppins" w:hAnsi="Poppins" w:cs="Poppins"/>
          <w:color w:val="000000" w:themeColor="text1"/>
        </w:rPr>
      </w:pPr>
      <w:bookmarkStart w:id="16" w:name="_Toc186807897"/>
      <w:r w:rsidRPr="007724CB">
        <w:rPr>
          <w:rFonts w:ascii="Poppins" w:hAnsi="Poppins" w:cs="Poppins"/>
          <w:color w:val="000000" w:themeColor="text1"/>
        </w:rPr>
        <w:t xml:space="preserve">The Proposer recommends changing the definition of an Infrastructure Asset to include all Transmission Owned Assets that can be reasonably used by multiple Users, either now or in the future, i.e. the assets are ‘shareable’ between multiple Users. </w:t>
      </w:r>
    </w:p>
    <w:p w14:paraId="3C3D3550" w14:textId="77777777" w:rsidR="007724CB" w:rsidRPr="007724CB" w:rsidRDefault="007724CB" w:rsidP="007724CB">
      <w:pPr>
        <w:rPr>
          <w:rFonts w:ascii="Poppins" w:hAnsi="Poppins" w:cs="Poppins"/>
          <w:color w:val="000000" w:themeColor="text1"/>
        </w:rPr>
      </w:pPr>
      <w:r w:rsidRPr="007724CB">
        <w:rPr>
          <w:rFonts w:ascii="Poppins" w:hAnsi="Poppins" w:cs="Poppins"/>
          <w:color w:val="000000" w:themeColor="text1"/>
        </w:rPr>
        <w:t xml:space="preserve">The Proposer believes this will develop a fairer, more transparent, and strategically aligned framework for charging transmission Connection Assets—particularly SGT reinforcements triggered by embedded distribution customers. The solution addresses both the immediate cost burden on individual customers and the broader structural misalignment between transmission and distribution charging regimes. </w:t>
      </w:r>
    </w:p>
    <w:p w14:paraId="13330C24" w14:textId="77777777" w:rsidR="007724CB" w:rsidRPr="007724CB" w:rsidRDefault="007724CB" w:rsidP="007724CB">
      <w:pPr>
        <w:rPr>
          <w:rFonts w:ascii="Poppins" w:hAnsi="Poppins" w:cs="Poppins"/>
          <w:color w:val="000000" w:themeColor="text1"/>
        </w:rPr>
      </w:pPr>
      <w:r w:rsidRPr="007724CB">
        <w:rPr>
          <w:rFonts w:ascii="Poppins" w:hAnsi="Poppins" w:cs="Poppins"/>
          <w:color w:val="000000" w:themeColor="text1"/>
        </w:rPr>
        <w:t xml:space="preserve">The solution will reclassify some Transmission Connection Assets as Infrastructure Assets. Worked Examples to show how assets are reclassified are detailed in </w:t>
      </w:r>
      <w:r w:rsidRPr="00E97BAA">
        <w:rPr>
          <w:rFonts w:ascii="Poppins" w:hAnsi="Poppins" w:cs="Poppins"/>
          <w:b/>
          <w:bCs/>
          <w:color w:val="000000" w:themeColor="text1"/>
          <w:highlight w:val="yellow"/>
        </w:rPr>
        <w:t>Annex 03</w:t>
      </w:r>
      <w:r w:rsidRPr="007724CB">
        <w:rPr>
          <w:rFonts w:ascii="Poppins" w:hAnsi="Poppins" w:cs="Poppins"/>
          <w:color w:val="000000" w:themeColor="text1"/>
        </w:rPr>
        <w:t>. There are several key implications of the proposed solution:</w:t>
      </w:r>
    </w:p>
    <w:p w14:paraId="28657EE5" w14:textId="62F712D9" w:rsidR="007724CB" w:rsidRPr="007724CB" w:rsidRDefault="007724CB" w:rsidP="007724CB">
      <w:pPr>
        <w:pStyle w:val="ListParagraph"/>
        <w:numPr>
          <w:ilvl w:val="0"/>
          <w:numId w:val="36"/>
        </w:numPr>
        <w:rPr>
          <w:rFonts w:ascii="Poppins" w:hAnsi="Poppins" w:cs="Poppins"/>
          <w:color w:val="000000" w:themeColor="text1"/>
        </w:rPr>
      </w:pPr>
      <w:r w:rsidRPr="007724CB">
        <w:rPr>
          <w:rFonts w:ascii="Poppins" w:hAnsi="Poppins" w:cs="Poppins"/>
          <w:color w:val="000000" w:themeColor="text1"/>
        </w:rPr>
        <w:t xml:space="preserve">The solution will classify Transmission Assets triggered by distribution Users as Infrastructure Assets, unless there is a clear justification that the Transmission Assets can only be used by one distribution User. </w:t>
      </w:r>
    </w:p>
    <w:p w14:paraId="58C1EB69" w14:textId="4512CFA9" w:rsidR="007724CB" w:rsidRPr="007724CB" w:rsidRDefault="007724CB" w:rsidP="007724CB">
      <w:pPr>
        <w:pStyle w:val="ListParagraph"/>
        <w:numPr>
          <w:ilvl w:val="0"/>
          <w:numId w:val="36"/>
        </w:numPr>
        <w:rPr>
          <w:rFonts w:ascii="Poppins" w:hAnsi="Poppins" w:cs="Poppins"/>
          <w:color w:val="000000" w:themeColor="text1"/>
        </w:rPr>
      </w:pPr>
      <w:r w:rsidRPr="007724CB">
        <w:rPr>
          <w:rFonts w:ascii="Poppins" w:hAnsi="Poppins" w:cs="Poppins"/>
          <w:color w:val="000000" w:themeColor="text1"/>
        </w:rPr>
        <w:t xml:space="preserve">There will be no change to how grid parks will be classified, unless the User requires all the network capacity created by the grid park. The majority of assets for a grid park will be charged as Infrastructure Assets.  </w:t>
      </w:r>
    </w:p>
    <w:p w14:paraId="2270FB48" w14:textId="3087A300" w:rsidR="007724CB" w:rsidRPr="007724CB" w:rsidRDefault="007724CB" w:rsidP="007724CB">
      <w:pPr>
        <w:pStyle w:val="ListParagraph"/>
        <w:numPr>
          <w:ilvl w:val="0"/>
          <w:numId w:val="36"/>
        </w:numPr>
        <w:rPr>
          <w:rFonts w:ascii="Poppins" w:hAnsi="Poppins" w:cs="Poppins"/>
          <w:color w:val="000000" w:themeColor="text1"/>
        </w:rPr>
      </w:pPr>
      <w:r w:rsidRPr="007724CB">
        <w:rPr>
          <w:rFonts w:ascii="Poppins" w:hAnsi="Poppins" w:cs="Poppins"/>
          <w:color w:val="000000" w:themeColor="text1"/>
        </w:rPr>
        <w:t>There will be no change to how tertiary connections are classified, and Users will still need to pay Connection Asset Charges.</w:t>
      </w:r>
    </w:p>
    <w:p w14:paraId="6364AE5A" w14:textId="2D5A8E07" w:rsidR="007724CB" w:rsidRPr="007724CB" w:rsidRDefault="007724CB" w:rsidP="007724CB">
      <w:pPr>
        <w:pStyle w:val="ListParagraph"/>
        <w:numPr>
          <w:ilvl w:val="0"/>
          <w:numId w:val="36"/>
        </w:numPr>
        <w:rPr>
          <w:rFonts w:ascii="Poppins" w:hAnsi="Poppins" w:cs="Poppins"/>
          <w:color w:val="000000" w:themeColor="text1"/>
        </w:rPr>
      </w:pPr>
      <w:r w:rsidRPr="007724CB">
        <w:rPr>
          <w:rFonts w:ascii="Poppins" w:hAnsi="Poppins" w:cs="Poppins"/>
          <w:color w:val="000000" w:themeColor="text1"/>
        </w:rPr>
        <w:t>The solution will classify Transmission Assets triggered by Demand Users as Infrastructure Assets, unless there is a clear justification that the Transmission Assets can only be used by one Demand User.</w:t>
      </w:r>
    </w:p>
    <w:p w14:paraId="2881B18D" w14:textId="77777777" w:rsidR="007724CB" w:rsidRPr="007724CB" w:rsidRDefault="007724CB" w:rsidP="007724CB">
      <w:pPr>
        <w:rPr>
          <w:rFonts w:ascii="Poppins" w:hAnsi="Poppins" w:cs="Poppins"/>
          <w:color w:val="000000" w:themeColor="text1"/>
        </w:rPr>
      </w:pPr>
      <w:r w:rsidRPr="007724CB">
        <w:rPr>
          <w:rFonts w:ascii="Poppins" w:hAnsi="Poppins" w:cs="Poppins"/>
          <w:color w:val="000000" w:themeColor="text1"/>
        </w:rPr>
        <w:t xml:space="preserve">The Proposer believes a distribution User nearly always has a mix of Demand and generation at each GSP, and therefore any Transmission Assets can provide </w:t>
      </w:r>
      <w:r w:rsidRPr="007724CB">
        <w:rPr>
          <w:rFonts w:ascii="Poppins" w:hAnsi="Poppins" w:cs="Poppins"/>
          <w:color w:val="000000" w:themeColor="text1"/>
        </w:rPr>
        <w:lastRenderedPageBreak/>
        <w:t xml:space="preserve">capacity that can be used by the embedded Demand and embedded generation. Therefore, it can be argued that Transmission Assets provide a whole system benefit. </w:t>
      </w:r>
    </w:p>
    <w:p w14:paraId="1285358F" w14:textId="77777777" w:rsidR="007724CB" w:rsidRPr="007724CB" w:rsidRDefault="007724CB" w:rsidP="007724CB">
      <w:pPr>
        <w:rPr>
          <w:rFonts w:ascii="Poppins" w:hAnsi="Poppins" w:cs="Poppins"/>
          <w:color w:val="000000" w:themeColor="text1"/>
        </w:rPr>
      </w:pPr>
      <w:r w:rsidRPr="007724CB">
        <w:rPr>
          <w:rFonts w:ascii="Poppins" w:hAnsi="Poppins" w:cs="Poppins"/>
          <w:color w:val="000000" w:themeColor="text1"/>
        </w:rPr>
        <w:t xml:space="preserve">The Proposer understands that the cost of Infrastructure Assets is recovered through TNUoS. The Local Substation Tariff, which is charged to generation Users only, is not directly related to the value of Infrastructure Assets at a GSP, and therefore, the Generation Local Substation Tariff is unlikely to increase to cover the cost of additional Infrastructure Assets. The Proposer’s solution will increase the amount of TNUoS recovered through the Transmission Demand Residual (TDR), which is paid by all Demand Users, i.e. consumers. An impact assessment has been completed by the Proposer and is detailed further in the Workgroup considerations section and </w:t>
      </w:r>
      <w:r w:rsidRPr="00E97BAA">
        <w:rPr>
          <w:rFonts w:ascii="Poppins" w:hAnsi="Poppins" w:cs="Poppins"/>
          <w:b/>
          <w:bCs/>
          <w:color w:val="000000" w:themeColor="text1"/>
          <w:highlight w:val="yellow"/>
        </w:rPr>
        <w:t>Annex 05</w:t>
      </w:r>
      <w:r w:rsidRPr="007724CB">
        <w:rPr>
          <w:rFonts w:ascii="Poppins" w:hAnsi="Poppins" w:cs="Poppins"/>
          <w:color w:val="000000" w:themeColor="text1"/>
        </w:rPr>
        <w:t>.   Further explanation on how Infrastructure Asset costs are recovered is in the Workgroup considerations section of this report.</w:t>
      </w:r>
    </w:p>
    <w:p w14:paraId="1B645F6E" w14:textId="77777777" w:rsidR="007724CB" w:rsidRPr="007724CB" w:rsidRDefault="007724CB" w:rsidP="007724CB">
      <w:pPr>
        <w:rPr>
          <w:rFonts w:ascii="Poppins" w:hAnsi="Poppins" w:cs="Poppins"/>
          <w:color w:val="000000" w:themeColor="text1"/>
        </w:rPr>
      </w:pPr>
      <w:r w:rsidRPr="007724CB">
        <w:rPr>
          <w:rFonts w:ascii="Poppins" w:hAnsi="Poppins" w:cs="Poppins"/>
          <w:color w:val="000000" w:themeColor="text1"/>
        </w:rPr>
        <w:t>The solution would align the charging incentive between distribution and transmission. If Demand connects at distribution or transmission, it does not have to pay for the Transmission Owned Assets that can be used to connect other customers (embedded or directly connected). If generation connects at distribution or transmission, the project does not have to pay for Transmission Owned Assets that can be used to connect other customers (embedded or directly connected).</w:t>
      </w:r>
    </w:p>
    <w:p w14:paraId="74ADC671" w14:textId="77777777" w:rsidR="007724CB" w:rsidRPr="007724CB" w:rsidRDefault="007724CB" w:rsidP="007724CB">
      <w:pPr>
        <w:rPr>
          <w:rFonts w:ascii="Poppins" w:hAnsi="Poppins" w:cs="Poppins"/>
          <w:color w:val="000000" w:themeColor="text1"/>
        </w:rPr>
      </w:pPr>
      <w:r w:rsidRPr="007724CB">
        <w:rPr>
          <w:rFonts w:ascii="Poppins" w:hAnsi="Poppins" w:cs="Poppins"/>
          <w:color w:val="000000" w:themeColor="text1"/>
        </w:rPr>
        <w:t xml:space="preserve">As part of the solution, the Proposer has created a workbook of examples, </w:t>
      </w:r>
      <w:r w:rsidRPr="00E97BAA">
        <w:rPr>
          <w:rFonts w:ascii="Poppins" w:hAnsi="Poppins" w:cs="Poppins"/>
          <w:b/>
          <w:bCs/>
          <w:color w:val="000000" w:themeColor="text1"/>
          <w:highlight w:val="yellow"/>
        </w:rPr>
        <w:t>Annex 03</w:t>
      </w:r>
      <w:r w:rsidRPr="007724CB">
        <w:rPr>
          <w:rFonts w:ascii="Poppins" w:hAnsi="Poppins" w:cs="Poppins"/>
          <w:color w:val="000000" w:themeColor="text1"/>
        </w:rPr>
        <w:t xml:space="preserve">, which can be used as the basis of a guidance document to provide clarity to Users and ensure they understand how Transmission Assets are classified and charged. The Proposer has provided a comparison of the baseline vs the original proposal in </w:t>
      </w:r>
      <w:r w:rsidRPr="00E97BAA">
        <w:rPr>
          <w:rFonts w:ascii="Poppins" w:hAnsi="Poppins" w:cs="Poppins"/>
          <w:b/>
          <w:bCs/>
          <w:color w:val="000000" w:themeColor="text1"/>
          <w:highlight w:val="yellow"/>
        </w:rPr>
        <w:t>Annex 04</w:t>
      </w:r>
      <w:r w:rsidRPr="007724CB">
        <w:rPr>
          <w:rFonts w:ascii="Poppins" w:hAnsi="Poppins" w:cs="Poppins"/>
          <w:color w:val="000000" w:themeColor="text1"/>
        </w:rPr>
        <w:t>.</w:t>
      </w:r>
    </w:p>
    <w:p w14:paraId="24CD1BAC" w14:textId="786E30C4" w:rsidR="00B1500F" w:rsidRPr="003B0561" w:rsidRDefault="007724CB" w:rsidP="00B1500F">
      <w:pPr>
        <w:rPr>
          <w:rFonts w:ascii="Poppins" w:hAnsi="Poppins" w:cs="Poppins"/>
          <w:color w:val="000000" w:themeColor="text1"/>
        </w:rPr>
      </w:pPr>
      <w:r w:rsidRPr="007724CB">
        <w:rPr>
          <w:rFonts w:ascii="Poppins" w:hAnsi="Poppins" w:cs="Poppins"/>
          <w:color w:val="000000" w:themeColor="text1"/>
        </w:rPr>
        <w:t xml:space="preserve">The Proposer does not advocate blanket strategic investment at all GSPs. Instead, reinforcement should be triggered based on credible evidence of future Demand or generation, supported by Distribution Future Energy Scenarios (DFES) </w:t>
      </w:r>
      <w:r w:rsidRPr="007724CB">
        <w:rPr>
          <w:rFonts w:ascii="Poppins" w:hAnsi="Poppins" w:cs="Poppins"/>
          <w:color w:val="000000" w:themeColor="text1"/>
        </w:rPr>
        <w:lastRenderedPageBreak/>
        <w:t>forecasts, connection queues, and stakeholder engagement. This ensures that investment is targeted, efficient, and aligned with net-zero objectives. The Proposer believes that existing regulation such as [Revenues = Incentives + Innovation + Outputs (RIIO)] business plans for networks, extended timelines to build new infrastructure, and transmission and System Operator licence conditions, should significantly mitigate the risk of inefficient investment in the Transmission Network. Ultimately, the solution aims to remove barriers to low-carbon connections, reduce regional disparities, and create a level playing field for all customers, at both transmission and distribution, while maintaining the lowest whole system cost to electricity consumers.</w:t>
      </w:r>
    </w:p>
    <w:p w14:paraId="6BAB52EC" w14:textId="77777777" w:rsidR="00B1500F" w:rsidRPr="003C0B04" w:rsidRDefault="00B1500F" w:rsidP="00B1500F">
      <w:pPr>
        <w:pStyle w:val="Heading2"/>
        <w:rPr>
          <w:rFonts w:ascii="Poppins" w:hAnsi="Poppins" w:cs="Poppins"/>
          <w:color w:val="000000" w:themeColor="text1"/>
          <w:highlight w:val="yellow"/>
        </w:rPr>
      </w:pPr>
      <w:bookmarkStart w:id="17" w:name="_Toc199859245"/>
      <w:bookmarkStart w:id="18" w:name="_Toc207608715"/>
      <w:bookmarkEnd w:id="16"/>
      <w:r w:rsidRPr="003C0B04">
        <w:rPr>
          <w:rFonts w:ascii="Poppins" w:hAnsi="Poppins" w:cs="Poppins"/>
          <w:color w:val="000000" w:themeColor="text1"/>
          <w:highlight w:val="yellow"/>
        </w:rPr>
        <w:t>Workgroup Alternative 1 solution</w:t>
      </w:r>
      <w:bookmarkEnd w:id="17"/>
      <w:bookmarkEnd w:id="18"/>
    </w:p>
    <w:p w14:paraId="269925D7" w14:textId="2CE2EE87" w:rsidR="00B1500F" w:rsidRPr="003C0B04" w:rsidRDefault="007E2A8D" w:rsidP="00B1500F">
      <w:pPr>
        <w:rPr>
          <w:rFonts w:ascii="Poppins" w:hAnsi="Poppins" w:cs="Poppins"/>
          <w:color w:val="000000" w:themeColor="text1"/>
          <w:highlight w:val="yellow"/>
        </w:rPr>
      </w:pPr>
      <w:r w:rsidRPr="003C0B04">
        <w:rPr>
          <w:rFonts w:ascii="Poppins" w:hAnsi="Poppins" w:cs="Poppins"/>
          <w:color w:val="000000" w:themeColor="text1"/>
          <w:highlight w:val="yellow"/>
        </w:rPr>
        <w:t>TBD</w:t>
      </w:r>
    </w:p>
    <w:p w14:paraId="5C4D778E" w14:textId="77777777" w:rsidR="00B1500F" w:rsidRPr="003B0561" w:rsidRDefault="00B1500F" w:rsidP="00B1500F">
      <w:pPr>
        <w:pStyle w:val="Heading2"/>
        <w:rPr>
          <w:rFonts w:ascii="Poppins" w:hAnsi="Poppins" w:cs="Poppins"/>
          <w:color w:val="000000" w:themeColor="text1"/>
        </w:rPr>
      </w:pPr>
      <w:bookmarkStart w:id="19" w:name="_Toc186807898"/>
      <w:bookmarkStart w:id="20" w:name="_Toc207608716"/>
      <w:r w:rsidRPr="003C0B04">
        <w:rPr>
          <w:rFonts w:ascii="Poppins" w:hAnsi="Poppins" w:cs="Poppins"/>
          <w:color w:val="000000" w:themeColor="text1"/>
          <w:highlight w:val="yellow"/>
        </w:rPr>
        <w:t>Workgroup Alternative 2 solution</w:t>
      </w:r>
      <w:bookmarkEnd w:id="19"/>
      <w:bookmarkEnd w:id="20"/>
    </w:p>
    <w:p w14:paraId="22F0633F" w14:textId="6FF99E96" w:rsidR="00B1500F" w:rsidRPr="003B0561" w:rsidRDefault="007E2A8D" w:rsidP="00B1500F">
      <w:pPr>
        <w:rPr>
          <w:rFonts w:ascii="Poppins" w:hAnsi="Poppins" w:cs="Poppins"/>
          <w:color w:val="000000" w:themeColor="text1"/>
        </w:rPr>
      </w:pPr>
      <w:r w:rsidRPr="007E2A8D">
        <w:rPr>
          <w:rFonts w:ascii="Poppins" w:hAnsi="Poppins" w:cs="Poppins"/>
          <w:color w:val="000000" w:themeColor="text1"/>
          <w:highlight w:val="yellow"/>
        </w:rPr>
        <w:t>TBD</w:t>
      </w:r>
    </w:p>
    <w:p w14:paraId="7B1C277F" w14:textId="2A7A2CB5" w:rsidR="00B1500F" w:rsidRPr="004E368A" w:rsidRDefault="00B1500F" w:rsidP="00B1500F">
      <w:pPr>
        <w:pStyle w:val="Heading2"/>
        <w:rPr>
          <w:rFonts w:ascii="Poppins" w:hAnsi="Poppins" w:cs="Poppins"/>
          <w:color w:val="3F0731"/>
          <w:szCs w:val="28"/>
        </w:rPr>
      </w:pPr>
      <w:bookmarkStart w:id="21" w:name="_Toc207608717"/>
      <w:r w:rsidRPr="004E368A">
        <w:rPr>
          <w:rFonts w:ascii="Poppins" w:hAnsi="Poppins" w:cs="Poppins"/>
          <w:color w:val="3F0731"/>
          <w:szCs w:val="28"/>
        </w:rPr>
        <w:t>Legal</w:t>
      </w:r>
      <w:r w:rsidR="00D05B48">
        <w:rPr>
          <w:rFonts w:ascii="Poppins" w:hAnsi="Poppins" w:cs="Poppins"/>
          <w:color w:val="3F0731"/>
          <w:szCs w:val="28"/>
        </w:rPr>
        <w:t xml:space="preserve"> T</w:t>
      </w:r>
      <w:r w:rsidRPr="004E368A">
        <w:rPr>
          <w:rFonts w:ascii="Poppins" w:hAnsi="Poppins" w:cs="Poppins"/>
          <w:color w:val="3F0731"/>
          <w:szCs w:val="28"/>
        </w:rPr>
        <w:t>ext</w:t>
      </w:r>
      <w:bookmarkEnd w:id="21"/>
    </w:p>
    <w:p w14:paraId="02243B83" w14:textId="2C017F5E" w:rsidR="00B1500F" w:rsidRDefault="00B1500F" w:rsidP="00B1500F">
      <w:pPr>
        <w:pStyle w:val="ListParagraph"/>
        <w:keepLines/>
        <w:widowControl w:val="0"/>
        <w:tabs>
          <w:tab w:val="left" w:pos="1418"/>
        </w:tabs>
        <w:spacing w:line="264" w:lineRule="auto"/>
        <w:ind w:left="0"/>
        <w:rPr>
          <w:rFonts w:ascii="Poppins" w:hAnsi="Poppins" w:cs="Poppins"/>
          <w:color w:val="000000"/>
        </w:rPr>
      </w:pPr>
      <w:r w:rsidRPr="00114AA3">
        <w:rPr>
          <w:rFonts w:ascii="Poppins" w:hAnsi="Poppins" w:cs="Poppins"/>
          <w:color w:val="000000"/>
        </w:rPr>
        <w:t xml:space="preserve">The </w:t>
      </w:r>
      <w:r w:rsidR="00D05B48">
        <w:rPr>
          <w:rFonts w:ascii="Poppins" w:hAnsi="Poppins" w:cs="Poppins"/>
          <w:color w:val="000000"/>
        </w:rPr>
        <w:t>L</w:t>
      </w:r>
      <w:r w:rsidRPr="00114AA3">
        <w:rPr>
          <w:rFonts w:ascii="Poppins" w:hAnsi="Poppins" w:cs="Poppins"/>
          <w:color w:val="000000"/>
        </w:rPr>
        <w:t xml:space="preserve">egal </w:t>
      </w:r>
      <w:r w:rsidR="00D05B48">
        <w:rPr>
          <w:rFonts w:ascii="Poppins" w:hAnsi="Poppins" w:cs="Poppins"/>
          <w:color w:val="000000"/>
        </w:rPr>
        <w:t>T</w:t>
      </w:r>
      <w:r w:rsidRPr="00114AA3">
        <w:rPr>
          <w:rFonts w:ascii="Poppins" w:hAnsi="Poppins" w:cs="Poppins"/>
          <w:color w:val="000000"/>
        </w:rPr>
        <w:t xml:space="preserve">ext for this change can be found in </w:t>
      </w:r>
      <w:r w:rsidRPr="00E60736">
        <w:rPr>
          <w:rFonts w:ascii="Poppins" w:hAnsi="Poppins" w:cs="Poppins"/>
          <w:b/>
          <w:bCs/>
          <w:color w:val="000000"/>
          <w:highlight w:val="yellow"/>
        </w:rPr>
        <w:t>Annex XX</w:t>
      </w:r>
      <w:r w:rsidRPr="00114AA3">
        <w:rPr>
          <w:rFonts w:ascii="Poppins" w:hAnsi="Poppins" w:cs="Poppins"/>
          <w:color w:val="000000"/>
        </w:rPr>
        <w:t>.</w:t>
      </w:r>
      <w:r>
        <w:rPr>
          <w:rFonts w:ascii="Poppins" w:hAnsi="Poppins" w:cs="Poppins"/>
          <w:color w:val="000000"/>
        </w:rPr>
        <w:t xml:space="preserve"> Figure </w:t>
      </w:r>
      <w:r w:rsidRPr="00E60736">
        <w:rPr>
          <w:rFonts w:ascii="Poppins" w:hAnsi="Poppins" w:cs="Poppins"/>
          <w:color w:val="000000"/>
          <w:highlight w:val="yellow"/>
        </w:rPr>
        <w:t>X</w:t>
      </w:r>
      <w:r>
        <w:rPr>
          <w:rFonts w:ascii="Poppins" w:hAnsi="Poppins" w:cs="Poppins"/>
          <w:color w:val="000000"/>
        </w:rPr>
        <w:t xml:space="preserve"> below illustrates the difference between each of the solutions (for further detail see </w:t>
      </w:r>
      <w:r w:rsidRPr="007D12D0">
        <w:rPr>
          <w:rFonts w:ascii="Poppins" w:hAnsi="Poppins" w:cs="Poppins"/>
          <w:b/>
          <w:bCs/>
          <w:color w:val="000000"/>
          <w:highlight w:val="yellow"/>
        </w:rPr>
        <w:t>Annex XX</w:t>
      </w:r>
      <w:r>
        <w:rPr>
          <w:rFonts w:ascii="Poppins" w:hAnsi="Poppins" w:cs="Poppins"/>
          <w:color w:val="000000"/>
        </w:rPr>
        <w:t>)</w:t>
      </w:r>
    </w:p>
    <w:tbl>
      <w:tblPr>
        <w:tblStyle w:val="TableGrid"/>
        <w:tblW w:w="5000" w:type="pct"/>
        <w:tblLook w:val="04A0" w:firstRow="1" w:lastRow="0" w:firstColumn="1" w:lastColumn="0" w:noHBand="0" w:noVBand="1"/>
      </w:tblPr>
      <w:tblGrid>
        <w:gridCol w:w="3468"/>
        <w:gridCol w:w="3137"/>
        <w:gridCol w:w="3137"/>
      </w:tblGrid>
      <w:tr w:rsidR="007D12D0" w14:paraId="27A29AB3" w14:textId="77777777" w:rsidTr="00CB7DB2">
        <w:tc>
          <w:tcPr>
            <w:tcW w:w="1780" w:type="pct"/>
            <w:vAlign w:val="center"/>
          </w:tcPr>
          <w:p w14:paraId="430BB42E" w14:textId="77777777" w:rsidR="007D12D0" w:rsidRDefault="007D12D0" w:rsidP="00CB7DB2">
            <w:pPr>
              <w:pStyle w:val="ListParagraph"/>
              <w:keepLines/>
              <w:widowControl w:val="0"/>
              <w:tabs>
                <w:tab w:val="left" w:pos="1418"/>
              </w:tabs>
              <w:spacing w:line="264" w:lineRule="auto"/>
              <w:ind w:left="0"/>
              <w:rPr>
                <w:rFonts w:ascii="Poppins" w:hAnsi="Poppins" w:cs="Poppins"/>
                <w:color w:val="000000"/>
              </w:rPr>
            </w:pPr>
          </w:p>
        </w:tc>
        <w:tc>
          <w:tcPr>
            <w:tcW w:w="1610" w:type="pct"/>
            <w:shd w:val="clear" w:color="auto" w:fill="7A3864"/>
          </w:tcPr>
          <w:p w14:paraId="330C2D45" w14:textId="1647D159" w:rsidR="007D12D0" w:rsidRPr="001656FE" w:rsidRDefault="007D12D0" w:rsidP="00CB7DB2">
            <w:pPr>
              <w:pStyle w:val="ListParagraph"/>
              <w:keepLines/>
              <w:widowControl w:val="0"/>
              <w:tabs>
                <w:tab w:val="left" w:pos="1418"/>
              </w:tabs>
              <w:spacing w:line="264" w:lineRule="auto"/>
              <w:ind w:left="0"/>
              <w:rPr>
                <w:rFonts w:ascii="Poppins" w:hAnsi="Poppins" w:cs="Poppins"/>
                <w:color w:val="FFFFFF" w:themeColor="background1"/>
              </w:rPr>
            </w:pPr>
            <w:r>
              <w:rPr>
                <w:rFonts w:ascii="Poppins" w:hAnsi="Poppins" w:cs="Poppins"/>
                <w:color w:val="FFFFFF" w:themeColor="background1"/>
              </w:rPr>
              <w:t>CUSC Section 11</w:t>
            </w:r>
          </w:p>
        </w:tc>
        <w:tc>
          <w:tcPr>
            <w:tcW w:w="1610" w:type="pct"/>
            <w:shd w:val="clear" w:color="auto" w:fill="7A3864"/>
            <w:vAlign w:val="center"/>
          </w:tcPr>
          <w:p w14:paraId="75317167" w14:textId="4B22C8FD" w:rsidR="007D12D0" w:rsidRPr="001656FE" w:rsidRDefault="007D12D0" w:rsidP="00CB7DB2">
            <w:pPr>
              <w:pStyle w:val="ListParagraph"/>
              <w:keepLines/>
              <w:widowControl w:val="0"/>
              <w:tabs>
                <w:tab w:val="left" w:pos="1418"/>
              </w:tabs>
              <w:spacing w:line="264" w:lineRule="auto"/>
              <w:ind w:left="0"/>
              <w:rPr>
                <w:rFonts w:ascii="Poppins" w:hAnsi="Poppins" w:cs="Poppins"/>
                <w:color w:val="FFFFFF" w:themeColor="background1"/>
              </w:rPr>
            </w:pPr>
            <w:r>
              <w:rPr>
                <w:rFonts w:ascii="Poppins" w:hAnsi="Poppins" w:cs="Poppins"/>
                <w:color w:val="FFFFFF" w:themeColor="background1"/>
              </w:rPr>
              <w:t>CUSC Section 14</w:t>
            </w:r>
          </w:p>
        </w:tc>
      </w:tr>
      <w:tr w:rsidR="007D12D0" w14:paraId="62426E3B" w14:textId="77777777" w:rsidTr="00CB7DB2">
        <w:tc>
          <w:tcPr>
            <w:tcW w:w="1780" w:type="pct"/>
            <w:vAlign w:val="center"/>
          </w:tcPr>
          <w:p w14:paraId="24158D7C" w14:textId="77777777" w:rsidR="007D12D0" w:rsidRDefault="007D12D0" w:rsidP="00CB7DB2">
            <w:pPr>
              <w:pStyle w:val="ListParagraph"/>
              <w:keepLines/>
              <w:widowControl w:val="0"/>
              <w:tabs>
                <w:tab w:val="left" w:pos="1418"/>
              </w:tabs>
              <w:spacing w:line="264" w:lineRule="auto"/>
              <w:ind w:left="0"/>
              <w:rPr>
                <w:rFonts w:ascii="Poppins" w:hAnsi="Poppins" w:cs="Poppins"/>
                <w:color w:val="000000"/>
              </w:rPr>
            </w:pPr>
            <w:r>
              <w:rPr>
                <w:rFonts w:ascii="Poppins" w:hAnsi="Poppins" w:cs="Poppins"/>
                <w:color w:val="000000"/>
              </w:rPr>
              <w:t>Original</w:t>
            </w:r>
          </w:p>
        </w:tc>
        <w:tc>
          <w:tcPr>
            <w:tcW w:w="1610" w:type="pct"/>
            <w:vAlign w:val="center"/>
          </w:tcPr>
          <w:p w14:paraId="69E19A52" w14:textId="77777777" w:rsidR="007D12D0" w:rsidRDefault="007D12D0" w:rsidP="00CB7DB2">
            <w:pPr>
              <w:pStyle w:val="ListParagraph"/>
              <w:keepLines/>
              <w:widowControl w:val="0"/>
              <w:tabs>
                <w:tab w:val="left" w:pos="1418"/>
              </w:tabs>
              <w:spacing w:line="264" w:lineRule="auto"/>
              <w:ind w:left="0"/>
              <w:rPr>
                <w:rFonts w:ascii="Poppins" w:hAnsi="Poppins" w:cs="Poppins"/>
                <w:color w:val="000000"/>
              </w:rPr>
            </w:pPr>
          </w:p>
        </w:tc>
        <w:tc>
          <w:tcPr>
            <w:tcW w:w="1610" w:type="pct"/>
            <w:vAlign w:val="center"/>
          </w:tcPr>
          <w:p w14:paraId="0EEA388C" w14:textId="77777777" w:rsidR="007D12D0" w:rsidRDefault="007D12D0" w:rsidP="00CB7DB2">
            <w:pPr>
              <w:pStyle w:val="ListParagraph"/>
              <w:keepLines/>
              <w:widowControl w:val="0"/>
              <w:tabs>
                <w:tab w:val="left" w:pos="1418"/>
              </w:tabs>
              <w:spacing w:line="264" w:lineRule="auto"/>
              <w:ind w:left="0"/>
              <w:rPr>
                <w:rFonts w:ascii="Poppins" w:hAnsi="Poppins" w:cs="Poppins"/>
                <w:color w:val="000000"/>
              </w:rPr>
            </w:pPr>
          </w:p>
        </w:tc>
      </w:tr>
      <w:tr w:rsidR="007D12D0" w14:paraId="274E1BB9" w14:textId="77777777" w:rsidTr="00CB7DB2">
        <w:tc>
          <w:tcPr>
            <w:tcW w:w="1780" w:type="pct"/>
            <w:vAlign w:val="center"/>
          </w:tcPr>
          <w:p w14:paraId="298BC818" w14:textId="0F293141" w:rsidR="007D12D0" w:rsidRDefault="007D12D0" w:rsidP="00CB7DB2">
            <w:pPr>
              <w:pStyle w:val="ListParagraph"/>
              <w:keepLines/>
              <w:widowControl w:val="0"/>
              <w:tabs>
                <w:tab w:val="left" w:pos="1418"/>
              </w:tabs>
              <w:spacing w:line="264" w:lineRule="auto"/>
              <w:ind w:left="0"/>
              <w:rPr>
                <w:rFonts w:ascii="Poppins" w:hAnsi="Poppins" w:cs="Poppins"/>
                <w:color w:val="000000"/>
              </w:rPr>
            </w:pPr>
            <w:r w:rsidRPr="00555CFD">
              <w:rPr>
                <w:rFonts w:ascii="Poppins" w:hAnsi="Poppins" w:cs="Poppins"/>
                <w:iCs/>
                <w:highlight w:val="yellow"/>
              </w:rPr>
              <w:t>WACMX</w:t>
            </w:r>
          </w:p>
        </w:tc>
        <w:tc>
          <w:tcPr>
            <w:tcW w:w="1610" w:type="pct"/>
            <w:vAlign w:val="center"/>
          </w:tcPr>
          <w:p w14:paraId="72880174" w14:textId="77777777" w:rsidR="007D12D0" w:rsidRDefault="007D12D0" w:rsidP="00CB7DB2">
            <w:pPr>
              <w:pStyle w:val="ListParagraph"/>
              <w:keepLines/>
              <w:widowControl w:val="0"/>
              <w:tabs>
                <w:tab w:val="left" w:pos="1418"/>
              </w:tabs>
              <w:spacing w:line="264" w:lineRule="auto"/>
              <w:ind w:left="0"/>
              <w:rPr>
                <w:rFonts w:ascii="Poppins" w:hAnsi="Poppins" w:cs="Poppins"/>
                <w:color w:val="000000"/>
              </w:rPr>
            </w:pPr>
          </w:p>
        </w:tc>
        <w:tc>
          <w:tcPr>
            <w:tcW w:w="1610" w:type="pct"/>
            <w:vAlign w:val="center"/>
          </w:tcPr>
          <w:p w14:paraId="66ACBCF1" w14:textId="77777777" w:rsidR="007D12D0" w:rsidRDefault="007D12D0" w:rsidP="00CB7DB2">
            <w:pPr>
              <w:pStyle w:val="ListParagraph"/>
              <w:keepLines/>
              <w:widowControl w:val="0"/>
              <w:tabs>
                <w:tab w:val="left" w:pos="1418"/>
              </w:tabs>
              <w:spacing w:line="264" w:lineRule="auto"/>
              <w:ind w:left="0"/>
              <w:rPr>
                <w:rFonts w:ascii="Poppins" w:hAnsi="Poppins" w:cs="Poppins"/>
                <w:color w:val="000000"/>
              </w:rPr>
            </w:pPr>
          </w:p>
        </w:tc>
      </w:tr>
      <w:tr w:rsidR="007D12D0" w14:paraId="5511693F" w14:textId="77777777" w:rsidTr="00CB7DB2">
        <w:tc>
          <w:tcPr>
            <w:tcW w:w="1780" w:type="pct"/>
            <w:vAlign w:val="center"/>
          </w:tcPr>
          <w:p w14:paraId="7A8A51EF" w14:textId="3A534EE0" w:rsidR="007D12D0" w:rsidRDefault="007D12D0" w:rsidP="00CB7DB2">
            <w:pPr>
              <w:pStyle w:val="ListParagraph"/>
              <w:keepLines/>
              <w:widowControl w:val="0"/>
              <w:tabs>
                <w:tab w:val="left" w:pos="1418"/>
              </w:tabs>
              <w:spacing w:line="264" w:lineRule="auto"/>
              <w:ind w:left="0"/>
              <w:rPr>
                <w:rFonts w:ascii="Poppins" w:hAnsi="Poppins" w:cs="Poppins"/>
                <w:color w:val="000000"/>
              </w:rPr>
            </w:pPr>
            <w:r w:rsidRPr="00555CFD">
              <w:rPr>
                <w:rFonts w:ascii="Poppins" w:hAnsi="Poppins" w:cs="Poppins"/>
                <w:iCs/>
                <w:highlight w:val="yellow"/>
              </w:rPr>
              <w:t>WACMX</w:t>
            </w:r>
          </w:p>
        </w:tc>
        <w:tc>
          <w:tcPr>
            <w:tcW w:w="1610" w:type="pct"/>
            <w:vAlign w:val="center"/>
          </w:tcPr>
          <w:p w14:paraId="277633D7" w14:textId="77777777" w:rsidR="007D12D0" w:rsidRDefault="007D12D0" w:rsidP="00CB7DB2">
            <w:pPr>
              <w:pStyle w:val="ListParagraph"/>
              <w:keepLines/>
              <w:widowControl w:val="0"/>
              <w:tabs>
                <w:tab w:val="left" w:pos="1418"/>
              </w:tabs>
              <w:spacing w:line="264" w:lineRule="auto"/>
              <w:ind w:left="0"/>
              <w:rPr>
                <w:rFonts w:ascii="Poppins" w:hAnsi="Poppins" w:cs="Poppins"/>
                <w:color w:val="000000"/>
              </w:rPr>
            </w:pPr>
          </w:p>
        </w:tc>
        <w:tc>
          <w:tcPr>
            <w:tcW w:w="1610" w:type="pct"/>
            <w:vAlign w:val="center"/>
          </w:tcPr>
          <w:p w14:paraId="7CAF75E0" w14:textId="77777777" w:rsidR="007D12D0" w:rsidRDefault="007D12D0" w:rsidP="00CB7DB2">
            <w:pPr>
              <w:pStyle w:val="ListParagraph"/>
              <w:keepLines/>
              <w:widowControl w:val="0"/>
              <w:tabs>
                <w:tab w:val="left" w:pos="1418"/>
              </w:tabs>
              <w:spacing w:line="264" w:lineRule="auto"/>
              <w:ind w:left="0"/>
              <w:rPr>
                <w:rFonts w:ascii="Poppins" w:hAnsi="Poppins" w:cs="Poppins"/>
                <w:color w:val="000000"/>
              </w:rPr>
            </w:pPr>
          </w:p>
        </w:tc>
      </w:tr>
    </w:tbl>
    <w:p w14:paraId="4E717DBD" w14:textId="77777777" w:rsidR="00B1500F" w:rsidRDefault="00B1500F" w:rsidP="00B1500F">
      <w:pPr>
        <w:pStyle w:val="ListParagraph"/>
        <w:keepLines/>
        <w:widowControl w:val="0"/>
        <w:tabs>
          <w:tab w:val="left" w:pos="1418"/>
        </w:tabs>
        <w:spacing w:line="264" w:lineRule="auto"/>
        <w:ind w:left="0"/>
        <w:rPr>
          <w:rFonts w:ascii="Poppins" w:hAnsi="Poppins" w:cs="Poppins"/>
          <w:color w:val="000000"/>
        </w:rPr>
      </w:pPr>
    </w:p>
    <w:p w14:paraId="7C36DF2B" w14:textId="7FC72B18" w:rsidR="00B46769" w:rsidRDefault="00B46769" w:rsidP="00B1500F">
      <w:pPr>
        <w:pStyle w:val="ListParagraph"/>
        <w:keepLines/>
        <w:widowControl w:val="0"/>
        <w:tabs>
          <w:tab w:val="left" w:pos="1418"/>
        </w:tabs>
        <w:spacing w:line="264" w:lineRule="auto"/>
        <w:ind w:left="0"/>
        <w:rPr>
          <w:rFonts w:ascii="Poppins" w:hAnsi="Poppins" w:cs="Poppins"/>
          <w:color w:val="000000"/>
        </w:rPr>
      </w:pPr>
    </w:p>
    <w:p w14:paraId="7436EF90" w14:textId="77777777" w:rsidR="00CA0621" w:rsidRPr="00DE2E99" w:rsidRDefault="00CA0621" w:rsidP="00CA0621">
      <w:pPr>
        <w:pStyle w:val="CA3"/>
        <w:shd w:val="clear" w:color="auto" w:fill="3F0731"/>
        <w:rPr>
          <w:rFonts w:ascii="Poppins" w:hAnsi="Poppins" w:cs="Poppins"/>
        </w:rPr>
      </w:pPr>
      <w:bookmarkStart w:id="22" w:name="_Toc207608718"/>
      <w:r w:rsidRPr="00DE2E99">
        <w:rPr>
          <w:rFonts w:ascii="Poppins" w:hAnsi="Poppins" w:cs="Poppins"/>
        </w:rPr>
        <w:lastRenderedPageBreak/>
        <w:t>Workgroup considerations</w:t>
      </w:r>
      <w:bookmarkEnd w:id="22"/>
    </w:p>
    <w:p w14:paraId="372BC57A" w14:textId="16CD4D31" w:rsidR="00CA0621" w:rsidRDefault="00CA0621" w:rsidP="00CA0621">
      <w:pPr>
        <w:spacing w:line="240" w:lineRule="auto"/>
        <w:jc w:val="both"/>
        <w:rPr>
          <w:rFonts w:ascii="Poppins" w:hAnsi="Poppins" w:cs="Poppins"/>
        </w:rPr>
      </w:pPr>
      <w:r w:rsidRPr="00DE2E99">
        <w:rPr>
          <w:rFonts w:ascii="Poppins" w:hAnsi="Poppins" w:cs="Poppins"/>
        </w:rPr>
        <w:t xml:space="preserve">The Workgroup convened </w:t>
      </w:r>
      <w:r w:rsidRPr="00DE2E99">
        <w:rPr>
          <w:rFonts w:ascii="Poppins" w:hAnsi="Poppins" w:cs="Poppins"/>
          <w:highlight w:val="yellow"/>
        </w:rPr>
        <w:t>XX times</w:t>
      </w:r>
      <w:r w:rsidRPr="00DE2E99">
        <w:rPr>
          <w:rFonts w:ascii="Poppins" w:hAnsi="Poppins" w:cs="Poppins"/>
        </w:rPr>
        <w:t xml:space="preserve"> to discuss the issue</w:t>
      </w:r>
      <w:r w:rsidR="00910B01">
        <w:rPr>
          <w:rFonts w:ascii="Poppins" w:hAnsi="Poppins" w:cs="Poppins"/>
        </w:rPr>
        <w:t xml:space="preserve"> as identified by the Proposer</w:t>
      </w:r>
      <w:r w:rsidRPr="00DE2E99">
        <w:rPr>
          <w:rFonts w:ascii="Poppins" w:hAnsi="Poppins" w:cs="Poppins"/>
        </w:rPr>
        <w:t xml:space="preserve"> within the scope of the defect, develop potential solutions, and evaluate the proposal in relation to the Applicable Code Objectives.</w:t>
      </w:r>
    </w:p>
    <w:p w14:paraId="2543AC1E" w14:textId="77777777" w:rsidR="00866C2B" w:rsidRPr="00ED6BAC" w:rsidRDefault="00866C2B" w:rsidP="00ED6BAC">
      <w:pPr>
        <w:pStyle w:val="Heading2"/>
        <w:rPr>
          <w:rFonts w:ascii="Poppins" w:hAnsi="Poppins" w:cs="Poppins"/>
          <w:color w:val="3F0731"/>
          <w:szCs w:val="28"/>
        </w:rPr>
      </w:pPr>
      <w:bookmarkStart w:id="23" w:name="_Toc207608719"/>
      <w:r w:rsidRPr="00ED6BAC">
        <w:rPr>
          <w:rFonts w:ascii="Poppins" w:hAnsi="Poppins" w:cs="Poppins"/>
          <w:color w:val="3F0731"/>
          <w:szCs w:val="28"/>
        </w:rPr>
        <w:t>Workgroup Discussion ahead of the Workgroup Consultation</w:t>
      </w:r>
      <w:bookmarkEnd w:id="23"/>
    </w:p>
    <w:p w14:paraId="58BAE7D6" w14:textId="77777777" w:rsidR="00851805" w:rsidRPr="00E237D1" w:rsidRDefault="00851805" w:rsidP="00851805">
      <w:pPr>
        <w:spacing w:after="0" w:line="240" w:lineRule="auto"/>
        <w:rPr>
          <w:rFonts w:ascii="Poppins" w:eastAsiaTheme="majorEastAsia" w:hAnsi="Poppins" w:cs="Poppins"/>
          <w:b/>
          <w:u w:val="single"/>
        </w:rPr>
      </w:pPr>
      <w:r w:rsidRPr="00E237D1">
        <w:rPr>
          <w:rFonts w:ascii="Poppins" w:eastAsiaTheme="majorEastAsia" w:hAnsi="Poppins" w:cs="Poppins"/>
          <w:b/>
          <w:bCs/>
          <w:u w:val="single"/>
        </w:rPr>
        <w:t xml:space="preserve">Solution </w:t>
      </w:r>
      <w:r w:rsidRPr="00E237D1">
        <w:rPr>
          <w:rFonts w:ascii="Poppins" w:eastAsiaTheme="majorEastAsia" w:hAnsi="Poppins" w:cs="Poppins"/>
          <w:b/>
          <w:u w:val="single"/>
        </w:rPr>
        <w:t>Options</w:t>
      </w:r>
    </w:p>
    <w:p w14:paraId="155CEF16" w14:textId="77777777" w:rsidR="00851805" w:rsidRPr="00E237D1" w:rsidRDefault="00851805" w:rsidP="00851805">
      <w:pPr>
        <w:pStyle w:val="paragraph"/>
        <w:rPr>
          <w:rFonts w:ascii="Poppins" w:eastAsiaTheme="majorEastAsia" w:hAnsi="Poppins" w:cs="Poppins"/>
        </w:rPr>
      </w:pPr>
      <w:r w:rsidRPr="00E237D1">
        <w:rPr>
          <w:rFonts w:ascii="Poppins" w:eastAsiaTheme="majorEastAsia" w:hAnsi="Poppins" w:cs="Poppins"/>
        </w:rPr>
        <w:t>The Proposer presented detailed worked examples comparing the baseline and proposed options for asset classification and cost allocation. The Proposer</w:t>
      </w:r>
      <w:r w:rsidRPr="00E237D1">
        <w:rPr>
          <w:rFonts w:ascii="Poppins" w:eastAsiaTheme="majorEastAsia" w:hAnsi="Poppins" w:cs="Poppins"/>
          <w:b/>
        </w:rPr>
        <w:t xml:space="preserve"> </w:t>
      </w:r>
      <w:r w:rsidRPr="00E237D1">
        <w:rPr>
          <w:rFonts w:ascii="Poppins" w:eastAsiaTheme="majorEastAsia" w:hAnsi="Poppins" w:cs="Poppins"/>
        </w:rPr>
        <w:t xml:space="preserve">explained the structure of the worked examples, which can be found in </w:t>
      </w:r>
      <w:r w:rsidRPr="00E237D1">
        <w:rPr>
          <w:rFonts w:ascii="Poppins" w:eastAsiaTheme="majorEastAsia" w:hAnsi="Poppins" w:cs="Poppins"/>
          <w:b/>
          <w:highlight w:val="yellow"/>
        </w:rPr>
        <w:t>Annex 03</w:t>
      </w:r>
      <w:r w:rsidRPr="00E237D1">
        <w:rPr>
          <w:rFonts w:ascii="Poppins" w:eastAsiaTheme="majorEastAsia" w:hAnsi="Poppins" w:cs="Poppins"/>
          <w:highlight w:val="yellow"/>
        </w:rPr>
        <w:t>,</w:t>
      </w:r>
      <w:r w:rsidRPr="00E237D1">
        <w:rPr>
          <w:rFonts w:ascii="Poppins" w:eastAsiaTheme="majorEastAsia" w:hAnsi="Poppins" w:cs="Poppins"/>
        </w:rPr>
        <w:t xml:space="preserve"> and clarified that the examples assume an Air Insulated Switchgear (AIS), with variations for Gas Insulated Switchgear (GIS) noted.  The Workgroup discussed the implications for DNOs, grid parks, and final Demand Users, including the need for a clear definition of 'shareable' assets and the potential requirement for changes to Section 11 of the code.</w:t>
      </w:r>
    </w:p>
    <w:p w14:paraId="294CD983" w14:textId="77777777" w:rsidR="00851805" w:rsidRPr="00E237D1" w:rsidRDefault="00851805" w:rsidP="00851805">
      <w:pPr>
        <w:spacing w:after="0" w:line="240" w:lineRule="auto"/>
        <w:rPr>
          <w:rFonts w:ascii="Poppins" w:eastAsiaTheme="majorEastAsia" w:hAnsi="Poppins" w:cs="Poppins"/>
        </w:rPr>
      </w:pPr>
      <w:r w:rsidRPr="00E237D1">
        <w:rPr>
          <w:rFonts w:ascii="Poppins" w:eastAsiaTheme="majorEastAsia" w:hAnsi="Poppins" w:cs="Poppins"/>
        </w:rPr>
        <w:t>The Proposer presented three options:</w:t>
      </w:r>
      <w:r w:rsidRPr="00E237D1">
        <w:rPr>
          <w:rFonts w:ascii="Poppins" w:eastAsiaTheme="majorEastAsia" w:hAnsi="Poppins" w:cs="Poppins"/>
        </w:rPr>
        <w:tab/>
      </w:r>
      <w:r w:rsidRPr="00E237D1">
        <w:rPr>
          <w:rFonts w:ascii="Poppins" w:eastAsiaTheme="majorEastAsia" w:hAnsi="Poppins" w:cs="Poppins"/>
        </w:rPr>
        <w:tab/>
      </w:r>
    </w:p>
    <w:p w14:paraId="04414B1D" w14:textId="77777777" w:rsidR="00851805" w:rsidRPr="00E237D1" w:rsidRDefault="00851805" w:rsidP="00851805">
      <w:pPr>
        <w:pStyle w:val="paragraph"/>
        <w:numPr>
          <w:ilvl w:val="0"/>
          <w:numId w:val="38"/>
        </w:numPr>
        <w:rPr>
          <w:rFonts w:ascii="Poppins" w:eastAsiaTheme="majorEastAsia" w:hAnsi="Poppins" w:cs="Poppins"/>
        </w:rPr>
      </w:pPr>
      <w:r w:rsidRPr="00E237D1">
        <w:rPr>
          <w:rFonts w:ascii="Poppins" w:eastAsiaTheme="majorEastAsia" w:hAnsi="Poppins" w:cs="Poppins"/>
          <w:b/>
        </w:rPr>
        <w:t>Option 1:</w:t>
      </w:r>
      <w:r w:rsidRPr="00E237D1">
        <w:rPr>
          <w:rFonts w:ascii="Poppins" w:eastAsiaTheme="majorEastAsia" w:hAnsi="Poppins" w:cs="Poppins"/>
        </w:rPr>
        <w:t xml:space="preserve"> Shareable Transmission Assets classified as Infrastructure Assets: The Proposer outlined Option 1, where shareable assets, now or in the future, are classified as Infrastructure Assets.  </w:t>
      </w:r>
    </w:p>
    <w:p w14:paraId="57EB46D0" w14:textId="77777777" w:rsidR="00851805" w:rsidRPr="00E237D1" w:rsidRDefault="00851805" w:rsidP="00851805">
      <w:pPr>
        <w:pStyle w:val="paragraph"/>
        <w:numPr>
          <w:ilvl w:val="0"/>
          <w:numId w:val="38"/>
        </w:numPr>
        <w:rPr>
          <w:rFonts w:ascii="Poppins" w:eastAsiaTheme="majorEastAsia" w:hAnsi="Poppins" w:cs="Poppins"/>
        </w:rPr>
      </w:pPr>
      <w:r w:rsidRPr="00E237D1">
        <w:rPr>
          <w:rFonts w:ascii="Poppins" w:eastAsiaTheme="majorEastAsia" w:hAnsi="Poppins" w:cs="Poppins"/>
          <w:b/>
        </w:rPr>
        <w:t>Option 2:</w:t>
      </w:r>
      <w:r w:rsidRPr="00E237D1">
        <w:rPr>
          <w:rFonts w:ascii="Poppins" w:eastAsiaTheme="majorEastAsia" w:hAnsi="Poppins" w:cs="Poppins"/>
        </w:rPr>
        <w:t xml:space="preserve"> All Transmission Assets as Connection Assets: Option 2 was presented as a model where all Transmission Assets triggered by Users are treated as Connection Assets and charged to the triggering User.</w:t>
      </w:r>
    </w:p>
    <w:p w14:paraId="78088B00" w14:textId="77777777" w:rsidR="00851805" w:rsidRPr="00E237D1" w:rsidRDefault="00851805" w:rsidP="00851805">
      <w:pPr>
        <w:pStyle w:val="paragraph"/>
        <w:numPr>
          <w:ilvl w:val="0"/>
          <w:numId w:val="38"/>
        </w:numPr>
        <w:spacing w:after="0"/>
        <w:rPr>
          <w:rFonts w:ascii="Poppins" w:eastAsiaTheme="majorEastAsia" w:hAnsi="Poppins" w:cs="Poppins"/>
          <w:b/>
          <w:u w:val="single"/>
        </w:rPr>
      </w:pPr>
      <w:r w:rsidRPr="00E237D1">
        <w:rPr>
          <w:rFonts w:ascii="Poppins" w:eastAsiaTheme="majorEastAsia" w:hAnsi="Poppins" w:cs="Poppins"/>
          <w:b/>
        </w:rPr>
        <w:t>Option 3:</w:t>
      </w:r>
      <w:r w:rsidRPr="00E237D1">
        <w:rPr>
          <w:rFonts w:ascii="Poppins" w:eastAsiaTheme="majorEastAsia" w:hAnsi="Poppins" w:cs="Poppins"/>
        </w:rPr>
        <w:t xml:space="preserve"> Proportional Cost Sharing: The Proposer described Option 3, were all Transmission Assets triggered by Users are treated as Connection Assets. However, Users are charged on a proportionally based on their use of Transmission Assets.</w:t>
      </w:r>
    </w:p>
    <w:p w14:paraId="7AC97F59" w14:textId="77777777" w:rsidR="00851805" w:rsidRPr="00E237D1" w:rsidRDefault="00851805" w:rsidP="00851805">
      <w:pPr>
        <w:pStyle w:val="paragraph"/>
        <w:spacing w:after="0"/>
        <w:rPr>
          <w:rFonts w:ascii="Poppins" w:eastAsiaTheme="majorEastAsia" w:hAnsi="Poppins" w:cs="Poppins"/>
          <w:b/>
          <w:u w:val="single"/>
        </w:rPr>
      </w:pPr>
      <w:r w:rsidRPr="00E237D1">
        <w:rPr>
          <w:rFonts w:ascii="Poppins" w:eastAsiaTheme="majorEastAsia" w:hAnsi="Poppins" w:cs="Poppins"/>
          <w:b/>
          <w:u w:val="single"/>
        </w:rPr>
        <w:t xml:space="preserve">Option 1 </w:t>
      </w:r>
    </w:p>
    <w:p w14:paraId="1F277F62" w14:textId="77777777" w:rsidR="00851805" w:rsidRPr="00E237D1" w:rsidRDefault="00851805" w:rsidP="00851805">
      <w:pPr>
        <w:pStyle w:val="paragraph"/>
        <w:rPr>
          <w:rFonts w:ascii="Poppins" w:eastAsiaTheme="majorEastAsia" w:hAnsi="Poppins" w:cs="Poppins"/>
        </w:rPr>
      </w:pPr>
      <w:r w:rsidRPr="00E237D1">
        <w:rPr>
          <w:rFonts w:ascii="Poppins" w:eastAsiaTheme="majorEastAsia" w:hAnsi="Poppins" w:cs="Poppins"/>
        </w:rPr>
        <w:t xml:space="preserve">Proposes that any Transmission Asset that can be shared now or in the future is classified as Infrastructure Assets and the cost recovered via TNUoS, while assets for sole use are treated as Connection Assets and charged to the triggering User. The Workgroup noted that clear legal text changes to the </w:t>
      </w:r>
      <w:r w:rsidRPr="00E237D1">
        <w:rPr>
          <w:rFonts w:ascii="Poppins" w:hAnsi="Poppins" w:cs="Poppins"/>
        </w:rPr>
        <w:t xml:space="preserve">Connection and Use of </w:t>
      </w:r>
      <w:r w:rsidRPr="00E237D1">
        <w:rPr>
          <w:rFonts w:ascii="Poppins" w:hAnsi="Poppins" w:cs="Poppins"/>
        </w:rPr>
        <w:lastRenderedPageBreak/>
        <w:t>System Code (</w:t>
      </w:r>
      <w:r w:rsidRPr="00E237D1">
        <w:rPr>
          <w:rFonts w:ascii="Poppins" w:eastAsiaTheme="majorEastAsia" w:hAnsi="Poppins" w:cs="Poppins"/>
        </w:rPr>
        <w:t xml:space="preserve">CUSC) are required to transparently define “shareable” assets and the criteria for sole-use i.e. shareable assets. The Proposer explained that directly connected Demand Users triggering assets that are not shareable would pay for those assets, because it was not possible for Transmission Owners to connect other Users to those assets in the future. Transmission Assets that are triggered by DNO networks are generally considered to shareable and can benefit multiple Users, so their assets are argued to be ‘Shareable’ by default. </w:t>
      </w:r>
    </w:p>
    <w:p w14:paraId="494E846E" w14:textId="77777777" w:rsidR="00851805" w:rsidRPr="00E237D1" w:rsidRDefault="00851805" w:rsidP="00851805">
      <w:pPr>
        <w:pStyle w:val="paragraph"/>
        <w:spacing w:after="0"/>
        <w:rPr>
          <w:rFonts w:ascii="Poppins" w:eastAsiaTheme="majorEastAsia" w:hAnsi="Poppins" w:cs="Poppins"/>
        </w:rPr>
      </w:pPr>
      <w:r w:rsidRPr="00E237D1">
        <w:rPr>
          <w:rFonts w:ascii="Poppins" w:eastAsiaTheme="majorEastAsia" w:hAnsi="Poppins" w:cs="Poppins"/>
        </w:rPr>
        <w:t xml:space="preserve">A Workgroup member raised concerns about consistency, arguing that DNOs and directly connected Users should be treated the same if they are the sole beneficiaries of an asset, to ensure cost reflectivity. Another Workgroup member flagged the need for careful legal drafting to define “full capacity” and “shareability,” as practical use may not match asset capacity exactly.  The Workgroup discussed how to handle cases where a DNO GSP serves only one customer, suggesting that in such cases, costs might be passed through, aligning with similar options in </w:t>
      </w:r>
      <w:hyperlink r:id="rId18" w:history="1">
        <w:r w:rsidRPr="00E237D1">
          <w:rPr>
            <w:rStyle w:val="Hyperlink"/>
            <w:rFonts w:ascii="Poppins" w:eastAsiaTheme="majorEastAsia" w:hAnsi="Poppins" w:cs="Poppins"/>
          </w:rPr>
          <w:t xml:space="preserve">DCP461: </w:t>
        </w:r>
        <w:r w:rsidRPr="00E237D1">
          <w:rPr>
            <w:rStyle w:val="Hyperlink"/>
            <w:rFonts w:ascii="Poppins" w:hAnsi="Poppins" w:cs="Poppins"/>
          </w:rPr>
          <w:t>Reducing the Impact of Transmission Distribution Charges</w:t>
        </w:r>
      </w:hyperlink>
      <w:r w:rsidRPr="00E237D1">
        <w:rPr>
          <w:rFonts w:ascii="Poppins" w:eastAsiaTheme="majorEastAsia" w:hAnsi="Poppins" w:cs="Poppins"/>
        </w:rPr>
        <w:t xml:space="preserve">’. </w:t>
      </w:r>
    </w:p>
    <w:p w14:paraId="643B41C8" w14:textId="77777777" w:rsidR="00851805" w:rsidRPr="00E237D1" w:rsidRDefault="00851805" w:rsidP="00851805">
      <w:pPr>
        <w:pStyle w:val="paragraph"/>
        <w:spacing w:after="0"/>
        <w:rPr>
          <w:rFonts w:ascii="Poppins" w:eastAsiaTheme="majorEastAsia" w:hAnsi="Poppins" w:cs="Poppins"/>
        </w:rPr>
      </w:pPr>
      <w:r w:rsidRPr="00E237D1">
        <w:rPr>
          <w:rFonts w:ascii="Poppins" w:eastAsiaTheme="majorEastAsia" w:hAnsi="Poppins" w:cs="Poppins"/>
        </w:rPr>
        <w:t xml:space="preserve">A Workgroup member highlighted real-world scenarios where a DNO GSP might have only one customer and raised questions about hybrid sites with both import and export, suggesting proportional cost allocation may be needed. Workgroup members warned against creating incentives for Users to game the system by choosing DNO connections to avoid charges, stressing the need for rules that prevent inefficient outcomes. </w:t>
      </w:r>
    </w:p>
    <w:p w14:paraId="50577CFB" w14:textId="77777777" w:rsidR="00851805" w:rsidRPr="00E237D1" w:rsidRDefault="00851805" w:rsidP="00851805">
      <w:pPr>
        <w:pStyle w:val="paragraph"/>
        <w:rPr>
          <w:rFonts w:ascii="Poppins" w:eastAsiaTheme="majorEastAsia" w:hAnsi="Poppins" w:cs="Poppins"/>
        </w:rPr>
      </w:pPr>
      <w:r w:rsidRPr="00E237D1">
        <w:rPr>
          <w:rFonts w:ascii="Poppins" w:eastAsiaTheme="majorEastAsia" w:hAnsi="Poppins" w:cs="Poppins"/>
        </w:rPr>
        <w:t xml:space="preserve">The Proposer clarified that Option 1 would not change the User Commitment or Final Sums securities methodology, as assets classified as Infrastructure Assets or Connection Assets would follow existing security arrangements. </w:t>
      </w:r>
    </w:p>
    <w:p w14:paraId="47629588" w14:textId="011CE0DB" w:rsidR="00851805" w:rsidRPr="00E237D1" w:rsidRDefault="00851805" w:rsidP="00851805">
      <w:pPr>
        <w:pStyle w:val="paragraph"/>
        <w:spacing w:after="0"/>
        <w:rPr>
          <w:rFonts w:ascii="Poppins" w:eastAsiaTheme="majorEastAsia" w:hAnsi="Poppins" w:cs="Poppins"/>
          <w:b/>
          <w:u w:val="single"/>
        </w:rPr>
      </w:pPr>
      <w:r w:rsidRPr="00E237D1">
        <w:rPr>
          <w:rFonts w:ascii="Poppins" w:eastAsiaTheme="majorEastAsia" w:hAnsi="Poppins" w:cs="Poppins"/>
          <w:b/>
          <w:u w:val="single"/>
        </w:rPr>
        <w:t>Option 2</w:t>
      </w:r>
    </w:p>
    <w:p w14:paraId="2C0F4EE9" w14:textId="77777777" w:rsidR="00851805" w:rsidRPr="00E237D1" w:rsidRDefault="00851805" w:rsidP="00851805">
      <w:pPr>
        <w:pStyle w:val="paragraph"/>
        <w:spacing w:after="0"/>
        <w:rPr>
          <w:rFonts w:ascii="Poppins" w:eastAsiaTheme="majorEastAsia" w:hAnsi="Poppins" w:cs="Poppins"/>
        </w:rPr>
      </w:pPr>
      <w:r w:rsidRPr="00E237D1">
        <w:rPr>
          <w:rFonts w:ascii="Poppins" w:eastAsiaTheme="majorEastAsia" w:hAnsi="Poppins" w:cs="Poppins"/>
        </w:rPr>
        <w:t xml:space="preserve">Option 2 treats all local reinforcement triggered by Users as Connection Assets, with the full cost charged to the triggering User (DNO, Demand, or generation), rather than socialised through TNUoS. The Workgroup discussed the need for a refund or rebate mechanism (similar to second comer charges in distribution) so that if a second User later benefits from the assets, the original User can be compensated. A Workgroup member noted that, unlike distribution, where </w:t>
      </w:r>
      <w:r w:rsidRPr="00E237D1">
        <w:rPr>
          <w:rFonts w:ascii="Poppins" w:eastAsiaTheme="majorEastAsia" w:hAnsi="Poppins" w:cs="Poppins"/>
        </w:rPr>
        <w:lastRenderedPageBreak/>
        <w:t>charges are paid upfront, transmission connection charges are typically annualised, making refunds or cost apportionment more complex to administer. This could require changes to the charging approach if Option 2 is adopted.</w:t>
      </w:r>
    </w:p>
    <w:p w14:paraId="62530594" w14:textId="77777777" w:rsidR="00851805" w:rsidRPr="00E237D1" w:rsidRDefault="00851805" w:rsidP="00851805">
      <w:pPr>
        <w:pStyle w:val="paragraph"/>
        <w:spacing w:after="0"/>
        <w:rPr>
          <w:rFonts w:ascii="Poppins" w:eastAsiaTheme="majorEastAsia" w:hAnsi="Poppins" w:cs="Poppins"/>
        </w:rPr>
      </w:pPr>
      <w:r w:rsidRPr="00E237D1">
        <w:rPr>
          <w:rFonts w:ascii="Poppins" w:eastAsiaTheme="majorEastAsia" w:hAnsi="Poppins" w:cs="Poppins"/>
        </w:rPr>
        <w:t xml:space="preserve">The Workgroup noted that under Option 2, tertiary Users connecting later would likely need to contribute to the cost of existing assets, potentially through a rebate to the DNO. The specifics would depend on whether a rebate methodology is implemented. The Proposer and a Workgroup member clarified that “User” in this context could be a DNO, Demand, or Generation User, and that DNOs would decide how to recover these costs from their customers. A Workgroup member noted that if tertiary Users must pay a share of costs, it could reduce the attractiveness of tertiary connections, but the option would still exist for those seeking quicker or more flexible connections. </w:t>
      </w:r>
    </w:p>
    <w:p w14:paraId="2609DCCD" w14:textId="77777777" w:rsidR="00851805" w:rsidRPr="00E237D1" w:rsidRDefault="00851805" w:rsidP="00851805">
      <w:pPr>
        <w:pStyle w:val="paragraph"/>
        <w:spacing w:after="0"/>
        <w:rPr>
          <w:rFonts w:ascii="Poppins" w:eastAsiaTheme="majorEastAsia" w:hAnsi="Poppins" w:cs="Poppins"/>
          <w:b/>
          <w:u w:val="single"/>
        </w:rPr>
      </w:pPr>
      <w:r w:rsidRPr="00E237D1">
        <w:rPr>
          <w:rFonts w:ascii="Poppins" w:eastAsiaTheme="majorEastAsia" w:hAnsi="Poppins" w:cs="Poppins"/>
          <w:b/>
          <w:u w:val="single"/>
        </w:rPr>
        <w:t>Option 3</w:t>
      </w:r>
    </w:p>
    <w:p w14:paraId="63687CBD" w14:textId="77777777" w:rsidR="00851805" w:rsidRPr="00E237D1" w:rsidRDefault="00851805" w:rsidP="00851805">
      <w:pPr>
        <w:pStyle w:val="paragraph"/>
        <w:spacing w:after="0"/>
        <w:rPr>
          <w:rFonts w:ascii="Poppins" w:eastAsiaTheme="majorEastAsia" w:hAnsi="Poppins" w:cs="Poppins"/>
        </w:rPr>
      </w:pPr>
      <w:r w:rsidRPr="00E237D1">
        <w:rPr>
          <w:rFonts w:ascii="Poppins" w:eastAsiaTheme="majorEastAsia" w:hAnsi="Poppins" w:cs="Poppins"/>
        </w:rPr>
        <w:t xml:space="preserve">Option 3 is similar to Option 2 but charges Users for Connection Assets based on their proportional use (capacity-based), rather than the full cost to the triggering User. A mechanism to fairly calculate the proportion of the asset utilised by the User would need to be further developed by the Workgroup. The Workbook of Examples for Option 3 in </w:t>
      </w:r>
      <w:r w:rsidRPr="00E97BAA">
        <w:rPr>
          <w:rFonts w:ascii="Poppins" w:eastAsiaTheme="majorEastAsia" w:hAnsi="Poppins" w:cs="Poppins"/>
          <w:b/>
          <w:highlight w:val="yellow"/>
        </w:rPr>
        <w:t>Annex 03</w:t>
      </w:r>
      <w:r w:rsidRPr="00E237D1">
        <w:rPr>
          <w:rFonts w:ascii="Poppins" w:eastAsiaTheme="majorEastAsia" w:hAnsi="Poppins" w:cs="Poppins"/>
          <w:b/>
        </w:rPr>
        <w:t xml:space="preserve"> </w:t>
      </w:r>
      <w:r w:rsidRPr="00E237D1">
        <w:rPr>
          <w:rFonts w:ascii="Poppins" w:eastAsiaTheme="majorEastAsia" w:hAnsi="Poppins" w:cs="Poppins"/>
          <w:bCs/>
        </w:rPr>
        <w:t xml:space="preserve">includes a proposed equation to calculate the proportion. </w:t>
      </w:r>
      <w:r w:rsidRPr="00E237D1">
        <w:rPr>
          <w:rFonts w:ascii="Poppins" w:eastAsiaTheme="majorEastAsia" w:hAnsi="Poppins" w:cs="Poppins"/>
        </w:rPr>
        <w:t xml:space="preserve">The Workgroup noted that implementing Option 3 would require a robust method for DNOs and Demand Users to declare a “maximum demand capability”, akin to Transmission Entry Capacity (TEC) for generation, and discussed the challenges of updating this value over time. A Workgroup member noted that equipment comes in discrete sizes, so proportional charging should reflect the sum of User capacities, not just minimum asset size, to avoid unfairly charging consumers for unused capacity. </w:t>
      </w:r>
    </w:p>
    <w:p w14:paraId="4A0A19FB" w14:textId="6B70DCC2" w:rsidR="00851805" w:rsidRPr="00274D2A" w:rsidRDefault="00851805" w:rsidP="00851805">
      <w:pPr>
        <w:pStyle w:val="paragraph"/>
        <w:spacing w:after="0"/>
        <w:rPr>
          <w:rFonts w:ascii="Poppins" w:hAnsi="Poppins" w:cs="Poppins"/>
        </w:rPr>
      </w:pPr>
      <w:r w:rsidRPr="00E237D1">
        <w:rPr>
          <w:rFonts w:ascii="Poppins" w:eastAsiaTheme="majorEastAsia" w:hAnsi="Poppins" w:cs="Poppins"/>
        </w:rPr>
        <w:t xml:space="preserve">The Workgroup discussed how to handle situations where the requirements of a User change e.g. load growth or reduction, questioning whether charges should be reallocated and how to avoid penalising Users who did not trigger upgrades. The Proposer suggested that tertiary Users would contribute proportionally to all shared assets, and that when new Users connect, their payments would effectively reimburse the socialised costs previously covered by TNUoS. Some Workgroup members recognised that proportional charging could require </w:t>
      </w:r>
      <w:r w:rsidRPr="00E237D1">
        <w:rPr>
          <w:rFonts w:ascii="Poppins" w:eastAsiaTheme="majorEastAsia" w:hAnsi="Poppins" w:cs="Poppins"/>
        </w:rPr>
        <w:lastRenderedPageBreak/>
        <w:t>complex administration, including rules for refunds if Users terminate or if new Users connect, and questioned whether new legislation, like a transmission equivalent of the Capacity Calculation Region (CCR) would be needed. One workgroup member believes the CUSC already allows for proportional charging. It is possible the scope of the Electricity (Connection Charges) Regulations (ECCR) may need to be amended to include the cost of transmission connection works incurred by the DNO and ensure subsequent DNO customers are charged appropriately, and the triggering DNO customer is refunded as other embedded customers utilise the Transmission Connection Assets. This change would need to be implemented through a Distribution Connections and Use of Systems Code (DCUSA) modification, such as DCP461</w:t>
      </w:r>
      <w:r w:rsidRPr="00E237D1">
        <w:rPr>
          <w:rFonts w:ascii="Poppins" w:hAnsi="Poppins" w:cs="Poppins"/>
        </w:rPr>
        <w:t>.</w:t>
      </w:r>
    </w:p>
    <w:p w14:paraId="00939EE9" w14:textId="7439A497" w:rsidR="00851805" w:rsidRPr="00E237D1" w:rsidRDefault="00851805" w:rsidP="00851805">
      <w:pPr>
        <w:pStyle w:val="paragraph"/>
        <w:spacing w:after="0"/>
        <w:rPr>
          <w:rFonts w:ascii="Poppins" w:eastAsiaTheme="majorEastAsia" w:hAnsi="Poppins" w:cs="Poppins"/>
        </w:rPr>
      </w:pPr>
      <w:r w:rsidRPr="00E237D1">
        <w:rPr>
          <w:rFonts w:ascii="Poppins" w:eastAsiaTheme="majorEastAsia" w:hAnsi="Poppins" w:cs="Poppins"/>
          <w:b/>
          <w:u w:val="single"/>
        </w:rPr>
        <w:t>Proposer</w:t>
      </w:r>
      <w:r w:rsidR="000A1EEE">
        <w:rPr>
          <w:rFonts w:ascii="Poppins" w:eastAsiaTheme="majorEastAsia" w:hAnsi="Poppins" w:cs="Poppins"/>
          <w:b/>
          <w:u w:val="single"/>
        </w:rPr>
        <w:t>’s</w:t>
      </w:r>
      <w:r w:rsidRPr="00E237D1">
        <w:rPr>
          <w:rFonts w:ascii="Poppins" w:eastAsiaTheme="majorEastAsia" w:hAnsi="Poppins" w:cs="Poppins"/>
          <w:b/>
          <w:u w:val="single"/>
        </w:rPr>
        <w:t xml:space="preserve"> </w:t>
      </w:r>
      <w:r w:rsidR="000A1EEE">
        <w:rPr>
          <w:rFonts w:ascii="Poppins" w:eastAsiaTheme="majorEastAsia" w:hAnsi="Poppins" w:cs="Poppins"/>
          <w:b/>
          <w:u w:val="single"/>
        </w:rPr>
        <w:t>P</w:t>
      </w:r>
      <w:r w:rsidRPr="00E237D1">
        <w:rPr>
          <w:rFonts w:ascii="Poppins" w:eastAsiaTheme="majorEastAsia" w:hAnsi="Poppins" w:cs="Poppins"/>
          <w:b/>
          <w:u w:val="single"/>
        </w:rPr>
        <w:t xml:space="preserve">referred </w:t>
      </w:r>
      <w:r w:rsidR="000A1EEE">
        <w:rPr>
          <w:rFonts w:ascii="Poppins" w:eastAsiaTheme="majorEastAsia" w:hAnsi="Poppins" w:cs="Poppins"/>
          <w:b/>
          <w:u w:val="single"/>
        </w:rPr>
        <w:t>S</w:t>
      </w:r>
      <w:r w:rsidRPr="00E237D1">
        <w:rPr>
          <w:rFonts w:ascii="Poppins" w:eastAsiaTheme="majorEastAsia" w:hAnsi="Poppins" w:cs="Poppins"/>
          <w:b/>
          <w:u w:val="single"/>
        </w:rPr>
        <w:t>olution</w:t>
      </w:r>
    </w:p>
    <w:p w14:paraId="3A43F343" w14:textId="77777777" w:rsidR="00851805" w:rsidRPr="00E237D1" w:rsidRDefault="00851805" w:rsidP="00851805">
      <w:pPr>
        <w:pStyle w:val="paragraph"/>
        <w:spacing w:after="0"/>
        <w:rPr>
          <w:rFonts w:ascii="Poppins" w:eastAsiaTheme="majorEastAsia" w:hAnsi="Poppins" w:cs="Poppins"/>
        </w:rPr>
      </w:pPr>
      <w:r w:rsidRPr="00E237D1">
        <w:rPr>
          <w:rFonts w:ascii="Poppins" w:eastAsiaTheme="majorEastAsia" w:hAnsi="Poppins" w:cs="Poppins"/>
        </w:rPr>
        <w:t xml:space="preserve">The Proposer confirmed that Option 1 is their preferred solution, as it aligns charging principles between transmission and distribution, treats all GSPs consistently, and classifies assets as infrastructure if they are shared or could be shared in the future, with only sole-use assets treated as Connection Assets. The Proposer noted that Option 1 is neutral on cost reflectivity, as it is not improving upon the baseline which also has limited cost reflectivity. The Proposer’s solution does not improve the cost reflectivity of local substation charges and flagged the difficulty of being fully cost-reflective for DNO-triggered Transmission Assets due to the mix of Demand and generation within the distribution networks. A Workgroup member suggested that Option 1 would reduce cost reflectivity by reclassifying assets from Connection Assets to Infrastructure Assets and therefore removing Connection Asset charges for Users and suggested that unless a substitute (such as a local transmission charge) is introduced, it risks creating a subsidy and a vacuum in cost signals. </w:t>
      </w:r>
    </w:p>
    <w:p w14:paraId="5BD82808" w14:textId="77777777" w:rsidR="00851805" w:rsidRPr="00E237D1" w:rsidRDefault="00851805" w:rsidP="00851805">
      <w:pPr>
        <w:pStyle w:val="paragraph"/>
        <w:rPr>
          <w:rFonts w:ascii="Poppins" w:eastAsiaTheme="majorEastAsia" w:hAnsi="Poppins" w:cs="Poppins"/>
        </w:rPr>
      </w:pPr>
      <w:r w:rsidRPr="00E237D1">
        <w:rPr>
          <w:rFonts w:ascii="Poppins" w:eastAsiaTheme="majorEastAsia" w:hAnsi="Poppins" w:cs="Poppins"/>
        </w:rPr>
        <w:t xml:space="preserve">Another Workgroup member asked if shifting costs to TNUoS could risk Ofgem refusing funding for expensive schemes, potentially impacting customers who have reached a Financial Investment Decision (FID). They noted the need for a legislative equivalent to ECCR if refunds are involved.  A Workgroup member highlighted that customers seek certainty, but Option 1 could undermine cost reflectivity and the principle of beneficiaries paying, leading to consumers subsidising assets that do not benefit them. </w:t>
      </w:r>
    </w:p>
    <w:p w14:paraId="0E84A648" w14:textId="77777777" w:rsidR="00851805" w:rsidRPr="00E237D1" w:rsidRDefault="00851805" w:rsidP="00851805">
      <w:pPr>
        <w:pStyle w:val="paragraph"/>
        <w:spacing w:after="0"/>
        <w:rPr>
          <w:rFonts w:ascii="Poppins" w:eastAsiaTheme="majorEastAsia" w:hAnsi="Poppins" w:cs="Poppins"/>
        </w:rPr>
      </w:pPr>
      <w:r w:rsidRPr="00E237D1">
        <w:rPr>
          <w:rFonts w:ascii="Poppins" w:eastAsiaTheme="majorEastAsia" w:hAnsi="Poppins" w:cs="Poppins"/>
        </w:rPr>
        <w:lastRenderedPageBreak/>
        <w:t xml:space="preserve">Another Workgroup member suggested that Option 1 could incentivise Generators to seek distribution connections to avoid TNUoS, creating a competition/distortion concern unless the TNUoS methodology is reformed. The Proposer responded that Option 1 actually aligns transmission and distribution treatment, and commercial differences remain. A Workgroup member added that market distortions already exist, especially with grid parks, and Option 1 may improve alignment. </w:t>
      </w:r>
    </w:p>
    <w:p w14:paraId="11EBD6CD" w14:textId="77777777" w:rsidR="00851805" w:rsidRPr="00E237D1" w:rsidRDefault="00851805" w:rsidP="00851805">
      <w:pPr>
        <w:pStyle w:val="paragraph"/>
        <w:spacing w:before="0" w:beforeAutospacing="0" w:after="0" w:afterAutospacing="0"/>
        <w:rPr>
          <w:rFonts w:ascii="Poppins" w:eastAsiaTheme="majorEastAsia" w:hAnsi="Poppins" w:cs="Poppins"/>
        </w:rPr>
      </w:pPr>
      <w:r w:rsidRPr="00E237D1">
        <w:rPr>
          <w:rFonts w:ascii="Poppins" w:eastAsiaTheme="majorEastAsia" w:hAnsi="Poppins" w:cs="Poppins"/>
        </w:rPr>
        <w:t>The Workgroup discussed the impact of ongoing Ofgem/</w:t>
      </w:r>
      <w:r w:rsidRPr="00E237D1">
        <w:rPr>
          <w:rFonts w:ascii="Poppins" w:eastAsiaTheme="minorHAnsi" w:hAnsi="Poppins" w:cs="Poppins"/>
          <w:kern w:val="2"/>
          <w:shd w:val="clear" w:color="auto" w:fill="FFFFFF"/>
          <w:lang w:eastAsia="en-US"/>
          <w14:ligatures w14:val="standardContextual"/>
        </w:rPr>
        <w:t xml:space="preserve"> </w:t>
      </w:r>
      <w:r w:rsidRPr="00E237D1">
        <w:rPr>
          <w:rFonts w:ascii="Poppins" w:eastAsiaTheme="majorEastAsia" w:hAnsi="Poppins" w:cs="Poppins"/>
        </w:rPr>
        <w:t>Department for Energy Security and Net Zero (DESNZ) transmission charging and connection depth reform [Revised National Pricing (RNP)], noting that the RNP review is ongoing and while Ofgem may pause transmission modifications, work on CMP460 should continue until further guidance is issued. A Workgroup member clarified that Connection Asset ownership remains with the transmission operator, and grid parks or multi-node substations can be efficient solutions to avoid costly distribution upgrades. The Proposer noted that Option 1 may require TOs to reopen their business plans if assets shift from Connection to Infrastructure, but mechanisms may exist to recover costs without reopening.  They also noted that Option 1 removes some cost signals for smart solutions, but time signals and Ofgem’s investment approval still incentivise efficiency. Option 2, by contrast, may discourage anticipatory investment. The Workgroup discussed the classification of assets in various scenarios, including grid parks, tertiary connections, and final Demand Users, providing technical insights and raising questions about cost apportionment, User definitions, and the treatment of shared assets. </w:t>
      </w:r>
    </w:p>
    <w:p w14:paraId="1F9C2442" w14:textId="77777777" w:rsidR="00851805" w:rsidRPr="00E237D1" w:rsidRDefault="00851805" w:rsidP="00851805">
      <w:pPr>
        <w:pStyle w:val="paragraph"/>
        <w:spacing w:before="0" w:beforeAutospacing="0" w:after="0" w:afterAutospacing="0"/>
        <w:rPr>
          <w:rFonts w:ascii="Poppins" w:eastAsiaTheme="majorEastAsia" w:hAnsi="Poppins" w:cs="Poppins"/>
        </w:rPr>
      </w:pPr>
    </w:p>
    <w:p w14:paraId="4427AAC7" w14:textId="77777777" w:rsidR="00851805" w:rsidRPr="00E237D1" w:rsidRDefault="00851805" w:rsidP="00851805">
      <w:pPr>
        <w:spacing w:line="240" w:lineRule="auto"/>
        <w:rPr>
          <w:rFonts w:ascii="Poppins" w:eastAsiaTheme="majorEastAsia" w:hAnsi="Poppins" w:cs="Poppins"/>
          <w:kern w:val="0"/>
          <w:lang w:eastAsia="en-GB"/>
          <w14:ligatures w14:val="none"/>
        </w:rPr>
      </w:pPr>
      <w:r w:rsidRPr="00E237D1">
        <w:rPr>
          <w:rFonts w:ascii="Poppins" w:eastAsiaTheme="majorEastAsia" w:hAnsi="Poppins" w:cs="Poppins"/>
          <w:kern w:val="0"/>
          <w:lang w:eastAsia="en-GB"/>
          <w14:ligatures w14:val="none"/>
        </w:rPr>
        <w:t>The Proposer’s preferred solution of Option 1 recommends recovering the costs of ‘shareable’ transmission Connection Assets through TNUoS charges. The Proposer believes this approach is the most positive when measured against the CUSC charging objectives, especially objectives (d) and (h), and is neutral regarding objectives (e), (f), and (g).</w:t>
      </w:r>
    </w:p>
    <w:p w14:paraId="40CF73FA" w14:textId="77777777" w:rsidR="00851805" w:rsidRPr="00E237D1" w:rsidRDefault="00851805" w:rsidP="00851805">
      <w:pPr>
        <w:spacing w:line="240" w:lineRule="auto"/>
        <w:rPr>
          <w:rFonts w:ascii="Poppins" w:eastAsiaTheme="majorEastAsia" w:hAnsi="Poppins" w:cs="Poppins"/>
          <w:kern w:val="0"/>
          <w:lang w:eastAsia="en-GB"/>
          <w14:ligatures w14:val="none"/>
        </w:rPr>
      </w:pPr>
      <w:r w:rsidRPr="00E237D1">
        <w:rPr>
          <w:rFonts w:ascii="Poppins" w:eastAsiaTheme="majorEastAsia" w:hAnsi="Poppins" w:cs="Poppins"/>
          <w:kern w:val="0"/>
          <w:lang w:eastAsia="en-GB"/>
          <w14:ligatures w14:val="none"/>
        </w:rPr>
        <w:t>Key Points:</w:t>
      </w:r>
    </w:p>
    <w:p w14:paraId="71A115EF" w14:textId="77777777" w:rsidR="00851805" w:rsidRPr="00E237D1" w:rsidRDefault="00851805" w:rsidP="00851805">
      <w:pPr>
        <w:numPr>
          <w:ilvl w:val="0"/>
          <w:numId w:val="37"/>
        </w:numPr>
        <w:spacing w:line="240" w:lineRule="auto"/>
        <w:rPr>
          <w:rFonts w:ascii="Poppins" w:eastAsiaTheme="majorEastAsia" w:hAnsi="Poppins" w:cs="Poppins"/>
          <w:lang w:eastAsia="en-GB"/>
        </w:rPr>
      </w:pPr>
      <w:r w:rsidRPr="00E237D1">
        <w:rPr>
          <w:rFonts w:ascii="Poppins" w:eastAsiaTheme="majorEastAsia" w:hAnsi="Poppins" w:cs="Poppins"/>
          <w:kern w:val="0"/>
          <w:lang w:eastAsia="en-GB"/>
          <w14:ligatures w14:val="none"/>
        </w:rPr>
        <w:t xml:space="preserve">Option 1 aligns charging incentives between distribution and transmission. Both Demand and generation projects, whether they connect at </w:t>
      </w:r>
      <w:r w:rsidRPr="00E237D1">
        <w:rPr>
          <w:rFonts w:ascii="Poppins" w:eastAsiaTheme="majorEastAsia" w:hAnsi="Poppins" w:cs="Poppins"/>
          <w:kern w:val="0"/>
          <w:lang w:eastAsia="en-GB"/>
          <w14:ligatures w14:val="none"/>
        </w:rPr>
        <w:lastRenderedPageBreak/>
        <w:t>distribution or transmission, would not pay for Transmission Owned Assets that can be used to connect other Users.</w:t>
      </w:r>
    </w:p>
    <w:p w14:paraId="4BD3630A" w14:textId="77777777" w:rsidR="00851805" w:rsidRPr="00E237D1" w:rsidRDefault="00851805" w:rsidP="00851805">
      <w:pPr>
        <w:numPr>
          <w:ilvl w:val="0"/>
          <w:numId w:val="37"/>
        </w:numPr>
        <w:spacing w:line="240" w:lineRule="auto"/>
        <w:rPr>
          <w:rFonts w:ascii="Poppins" w:eastAsiaTheme="majorEastAsia" w:hAnsi="Poppins" w:cs="Poppins"/>
          <w:kern w:val="0"/>
          <w:lang w:eastAsia="en-GB"/>
          <w14:ligatures w14:val="none"/>
        </w:rPr>
      </w:pPr>
      <w:r w:rsidRPr="00E237D1">
        <w:rPr>
          <w:rFonts w:ascii="Poppins" w:eastAsiaTheme="majorEastAsia" w:hAnsi="Poppins" w:cs="Poppins"/>
          <w:kern w:val="0"/>
          <w:lang w:eastAsia="en-GB"/>
          <w14:ligatures w14:val="none"/>
        </w:rPr>
        <w:t>This option provides cost certainty to all Users, supporting investment and improving competition in the electricity supply market.</w:t>
      </w:r>
    </w:p>
    <w:p w14:paraId="078B6229" w14:textId="77777777" w:rsidR="00851805" w:rsidRPr="00E237D1" w:rsidRDefault="00851805" w:rsidP="00851805">
      <w:pPr>
        <w:numPr>
          <w:ilvl w:val="0"/>
          <w:numId w:val="37"/>
        </w:numPr>
        <w:spacing w:line="240" w:lineRule="auto"/>
        <w:rPr>
          <w:rFonts w:ascii="Poppins" w:eastAsiaTheme="majorEastAsia" w:hAnsi="Poppins" w:cs="Poppins"/>
          <w:kern w:val="0"/>
          <w:lang w:eastAsia="en-GB"/>
          <w14:ligatures w14:val="none"/>
        </w:rPr>
      </w:pPr>
      <w:r w:rsidRPr="00E237D1">
        <w:rPr>
          <w:rFonts w:ascii="Poppins" w:eastAsiaTheme="majorEastAsia" w:hAnsi="Poppins" w:cs="Poppins"/>
          <w:kern w:val="0"/>
          <w:lang w:eastAsia="en-GB"/>
          <w14:ligatures w14:val="none"/>
        </w:rPr>
        <w:t>It is straightforward to implement, making the process of calculating Connection Asset charges easy to understand and administer.</w:t>
      </w:r>
    </w:p>
    <w:p w14:paraId="0941651D" w14:textId="77777777" w:rsidR="00851805" w:rsidRPr="00E237D1" w:rsidRDefault="00851805" w:rsidP="00851805">
      <w:pPr>
        <w:numPr>
          <w:ilvl w:val="0"/>
          <w:numId w:val="37"/>
        </w:numPr>
        <w:spacing w:line="240" w:lineRule="auto"/>
        <w:rPr>
          <w:rFonts w:ascii="Poppins" w:eastAsiaTheme="majorEastAsia" w:hAnsi="Poppins" w:cs="Poppins"/>
          <w:kern w:val="0"/>
          <w:lang w:eastAsia="en-GB"/>
          <w14:ligatures w14:val="none"/>
        </w:rPr>
      </w:pPr>
      <w:r w:rsidRPr="00E237D1">
        <w:rPr>
          <w:rFonts w:ascii="Poppins" w:eastAsiaTheme="majorEastAsia" w:hAnsi="Poppins" w:cs="Poppins"/>
          <w:kern w:val="0"/>
          <w:lang w:eastAsia="en-GB"/>
          <w14:ligatures w14:val="none"/>
        </w:rPr>
        <w:t>While Option 1 will reduce cost reflectivity (since local substation charges under TNUoS are not directly related to the value of Connection Assets at a GSP and not charged back to the User triggering the Connection Asset costs), the Proposer believes it is overall the most favourable compared to the Baseline, Option 2, and Option 3.</w:t>
      </w:r>
    </w:p>
    <w:p w14:paraId="2CD0AF13" w14:textId="77777777" w:rsidR="00851805" w:rsidRPr="00E237D1" w:rsidRDefault="00851805" w:rsidP="00851805">
      <w:pPr>
        <w:numPr>
          <w:ilvl w:val="0"/>
          <w:numId w:val="37"/>
        </w:numPr>
        <w:spacing w:line="240" w:lineRule="auto"/>
        <w:rPr>
          <w:rFonts w:ascii="Poppins" w:eastAsiaTheme="majorEastAsia" w:hAnsi="Poppins" w:cs="Poppins"/>
          <w:lang w:eastAsia="en-GB"/>
        </w:rPr>
      </w:pPr>
      <w:r w:rsidRPr="00E237D1">
        <w:rPr>
          <w:rFonts w:ascii="Poppins" w:eastAsiaTheme="majorEastAsia" w:hAnsi="Poppins" w:cs="Poppins"/>
          <w:kern w:val="0"/>
          <w:lang w:eastAsia="en-GB"/>
          <w14:ligatures w14:val="none"/>
        </w:rPr>
        <w:t>The Proposer notes that a follow-on modification</w:t>
      </w:r>
      <w:r w:rsidRPr="00E237D1">
        <w:rPr>
          <w:rFonts w:ascii="Poppins" w:eastAsiaTheme="majorEastAsia" w:hAnsi="Poppins" w:cs="Poppins"/>
          <w:lang w:eastAsia="en-GB"/>
        </w:rPr>
        <w:t>,</w:t>
      </w:r>
      <w:r w:rsidRPr="00E237D1">
        <w:rPr>
          <w:rFonts w:ascii="Poppins" w:eastAsiaTheme="majorEastAsia" w:hAnsi="Poppins" w:cs="Poppins"/>
          <w:kern w:val="0"/>
          <w:lang w:eastAsia="en-GB"/>
          <w14:ligatures w14:val="none"/>
        </w:rPr>
        <w:t xml:space="preserve"> </w:t>
      </w:r>
      <w:r w:rsidRPr="00E237D1">
        <w:rPr>
          <w:rFonts w:ascii="Poppins" w:eastAsiaTheme="majorEastAsia" w:hAnsi="Poppins" w:cs="Poppins"/>
          <w:lang w:eastAsia="en-GB"/>
        </w:rPr>
        <w:t xml:space="preserve">to reform local substation charges, </w:t>
      </w:r>
      <w:r w:rsidRPr="00E237D1">
        <w:rPr>
          <w:rFonts w:ascii="Poppins" w:eastAsiaTheme="majorEastAsia" w:hAnsi="Poppins" w:cs="Poppins"/>
          <w:kern w:val="0"/>
          <w:lang w:eastAsia="en-GB"/>
          <w14:ligatures w14:val="none"/>
        </w:rPr>
        <w:t>could address any cost reflectivity concerns.</w:t>
      </w:r>
    </w:p>
    <w:p w14:paraId="5CD945D1" w14:textId="77777777" w:rsidR="00851805" w:rsidRPr="00E237D1" w:rsidRDefault="00851805" w:rsidP="00851805">
      <w:pPr>
        <w:spacing w:line="240" w:lineRule="auto"/>
        <w:rPr>
          <w:rFonts w:ascii="Poppins" w:eastAsia="Arial" w:hAnsi="Poppins" w:cs="Poppins"/>
          <w:b/>
          <w:u w:val="single"/>
        </w:rPr>
      </w:pPr>
      <w:r w:rsidRPr="00E237D1">
        <w:rPr>
          <w:rFonts w:ascii="Poppins" w:eastAsia="Arial" w:hAnsi="Poppins" w:cs="Poppins"/>
          <w:b/>
          <w:u w:val="single"/>
        </w:rPr>
        <w:t>Infrastructure Assets charging and definition</w:t>
      </w:r>
    </w:p>
    <w:p w14:paraId="16583B92"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Workgroup members discussed how Infrastructure Assets are charged, especially the local substation charge, and whether it varies by the number of SGTs.  The Proposer presented the response from the NESO TNUoS Revenue team.  The discussion on Infrastructure Assets and charging clarified the parameters that determine local substation charges for directly connected generation. These charges are influenced by factors such as voltage, redundancy, and total generation volume, and are standardised across the country. Therefore, the Proposer confirmed that the local substation charge is not directly proportional to the number of SGT at the GSP and adding additional Infrastructure Assets at a GSP may not increase the local substation tariff. </w:t>
      </w:r>
    </w:p>
    <w:p w14:paraId="51F1FEF2"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Proposer pointed out that local substation charges for Infrastructure Assets are only applied to directly-connected Generators and are not locational, depending only on redundancy, voltage, and substation rating single vs double circuit; the scale shows in a small table in </w:t>
      </w:r>
      <w:hyperlink r:id="rId19" w:history="1">
        <w:r w:rsidRPr="00E237D1">
          <w:rPr>
            <w:rStyle w:val="Hyperlink"/>
            <w:rFonts w:ascii="Poppins" w:eastAsia="Arial" w:hAnsi="Poppins" w:cs="Poppins"/>
          </w:rPr>
          <w:t>NESO’s annual Statement of Charges</w:t>
        </w:r>
      </w:hyperlink>
      <w:r w:rsidRPr="00E237D1">
        <w:rPr>
          <w:rFonts w:ascii="Poppins" w:eastAsia="Arial" w:hAnsi="Poppins" w:cs="Poppins"/>
        </w:rPr>
        <w:t>. A Workgroup member clarified that asset sizing does (coarsely</w:t>
      </w:r>
      <w:r w:rsidRPr="00E237D1">
        <w:rPr>
          <w:rStyle w:val="FootnoteReference"/>
          <w:rFonts w:ascii="Poppins" w:eastAsia="Arial" w:hAnsi="Poppins" w:cs="Poppins"/>
        </w:rPr>
        <w:footnoteReference w:id="2"/>
      </w:r>
      <w:r w:rsidRPr="00E237D1">
        <w:rPr>
          <w:rFonts w:ascii="Poppins" w:eastAsia="Arial" w:hAnsi="Poppins" w:cs="Poppins"/>
        </w:rPr>
        <w:t xml:space="preserve">, and only on a binary basis of whether bigger or small than 1320 MW) influence the charge, which the Proposer acknowledged. The Workgroup discussed the complexity and </w:t>
      </w:r>
      <w:r w:rsidRPr="00E237D1">
        <w:rPr>
          <w:rFonts w:ascii="Poppins" w:eastAsia="Arial" w:hAnsi="Poppins" w:cs="Poppins"/>
        </w:rPr>
        <w:lastRenderedPageBreak/>
        <w:t xml:space="preserve">fairness of charging for SGTs and Connection Assets, the need for cost certainty and reflectivity for all parties, the interaction with DCP461, and the challenge of collecting relevant data while balancing accuracy, sensitivity, and timelines. </w:t>
      </w:r>
    </w:p>
    <w:p w14:paraId="4BCE5883"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The Workgroup highlighted the need to evaluate whether current charging models, particularly for substations, are fair and cost-reflective, and whether changes in asset classification (e.g., from connection to infrastructure) impact TNUoS tariffs. Moving assets from connection to infrastructure increases the total costs recovered by TOs via TNUoS, which are then spread across all Users, potentially leading to inequities in cost distribution. The Workgroup noted that due to the €2.50/MWh cap on generation tariffs, all of the cost is likely to be put on Demand Users via the Transmission Demand Residual (TDR) banded tariffs.</w:t>
      </w:r>
    </w:p>
    <w:p w14:paraId="4626882F"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The importance of considering how changes to Infrastructure Asset charging would interact with other regulatory frameworks, such as the Strategic Spatial Energy Plan (SSEP), the Regional Energy System Plans (RESP) and DNO charging methodologies was also discussed.</w:t>
      </w:r>
    </w:p>
    <w:p w14:paraId="4F4350CF"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There was a discussion that revolved around the distinction between shared and non-shared assets in energy infrastructure, particularly substations, and how these classifications impact charging mechanisms. Shared assets are those used by multiple customers, while non-shared assets are dedicated to a single User, but the concept of "potentially shareable" assets was introduced by the Proposer to signal the potential for future shared use, influencing cost allocation and predictability.</w:t>
      </w:r>
    </w:p>
    <w:p w14:paraId="647FF7F4"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The Workgroup recognised that changing Asset definitions or introducing new categories could have complex legal and grandfathering implications, this will be under legal review and will involve careful drafting. </w:t>
      </w:r>
    </w:p>
    <w:p w14:paraId="1C5834EB" w14:textId="77777777" w:rsidR="00851805" w:rsidRDefault="00851805" w:rsidP="00851805">
      <w:pPr>
        <w:spacing w:line="240" w:lineRule="auto"/>
        <w:rPr>
          <w:rFonts w:ascii="Poppins" w:eastAsia="Arial" w:hAnsi="Poppins" w:cs="Poppins"/>
        </w:rPr>
      </w:pPr>
      <w:r w:rsidRPr="00E237D1">
        <w:rPr>
          <w:rFonts w:ascii="Poppins" w:eastAsia="Arial" w:hAnsi="Poppins" w:cs="Poppins"/>
        </w:rPr>
        <w:t>A Workgroup member explained the mechanics of partial capital contributions and annual charges, with another Workgroup member raising the challenge of allocating costs when both generation and Demand customers connect to the same asset. The Workgroup agreed that this issue needs further discussion and clear rules. </w:t>
      </w:r>
    </w:p>
    <w:p w14:paraId="6073A2C9" w14:textId="77777777" w:rsidR="005C2753" w:rsidRDefault="005C2753" w:rsidP="00851805">
      <w:pPr>
        <w:spacing w:line="240" w:lineRule="auto"/>
        <w:rPr>
          <w:rFonts w:ascii="Poppins" w:eastAsia="Arial" w:hAnsi="Poppins" w:cs="Poppins"/>
        </w:rPr>
      </w:pPr>
    </w:p>
    <w:p w14:paraId="67A9D94C" w14:textId="77777777" w:rsidR="000D6E3A" w:rsidRPr="00E237D1" w:rsidRDefault="000D6E3A" w:rsidP="00851805">
      <w:pPr>
        <w:spacing w:line="240" w:lineRule="auto"/>
        <w:rPr>
          <w:rFonts w:ascii="Poppins" w:eastAsia="Arial" w:hAnsi="Poppins" w:cs="Poppins"/>
        </w:rPr>
      </w:pPr>
    </w:p>
    <w:p w14:paraId="7EF2D6B6" w14:textId="77777777" w:rsidR="00851805" w:rsidRPr="00E237D1" w:rsidRDefault="00851805" w:rsidP="00851805">
      <w:pPr>
        <w:spacing w:line="240" w:lineRule="auto"/>
        <w:rPr>
          <w:rFonts w:ascii="Poppins" w:eastAsia="Arial" w:hAnsi="Poppins" w:cs="Poppins"/>
          <w:b/>
          <w:u w:val="single"/>
        </w:rPr>
      </w:pPr>
      <w:r w:rsidRPr="00E237D1">
        <w:rPr>
          <w:rFonts w:ascii="Poppins" w:eastAsia="Arial" w:hAnsi="Poppins" w:cs="Poppins"/>
          <w:b/>
          <w:u w:val="single"/>
        </w:rPr>
        <w:lastRenderedPageBreak/>
        <w:t>Cost Reflectivity</w:t>
      </w:r>
    </w:p>
    <w:p w14:paraId="4523FEED"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Workgroup noted the need to balance cost reflectivity with simplicity and fairness. They highlighted the potential for unintended consequences, such as incentivising inefficient connections or creating discrepancies between transmission and distribution charging. </w:t>
      </w:r>
    </w:p>
    <w:p w14:paraId="10F798DA" w14:textId="77777777" w:rsidR="00851805" w:rsidRPr="00E237D1" w:rsidRDefault="00851805" w:rsidP="00851805">
      <w:pPr>
        <w:spacing w:line="240" w:lineRule="auto"/>
        <w:rPr>
          <w:rFonts w:ascii="Poppins" w:eastAsia="Arial" w:hAnsi="Poppins" w:cs="Poppins"/>
          <w:b/>
          <w:u w:val="single"/>
        </w:rPr>
      </w:pPr>
      <w:r w:rsidRPr="00E237D1">
        <w:rPr>
          <w:rFonts w:ascii="Poppins" w:eastAsia="Arial" w:hAnsi="Poppins" w:cs="Poppins"/>
          <w:b/>
          <w:u w:val="single"/>
        </w:rPr>
        <w:t>Applicability</w:t>
      </w:r>
    </w:p>
    <w:p w14:paraId="05AF9301"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Proposal would be applied to the Transmission Assets triggered and used by all Users defined in the CUSC i.e. distribution Users, Demand Users, and generation Users. </w:t>
      </w:r>
    </w:p>
    <w:p w14:paraId="3BA73C7E"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Proposer summarised their view of when CMP460 is applicable.  They identified three categories for retrospective application of CMP460: (1) already connected Users (no change to charges); (2) contracted but not yet connected Users (contracts would be updated to reflect CMP460 asset classification); and (3) Users requesting changes after implementation (asset classification and charges updated per CMP460). The Proposer stated that CMP460 should not be applicable to already connected Customers, as this could cause issues for investors.  However, they stated that accepted but not yet connected offers would need to be updated to reflect the new arrangements from the Implementation Date. </w:t>
      </w:r>
    </w:p>
    <w:p w14:paraId="19C89148"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Proposer highlighted that contracted Users who have taken financial investment decisions may face significant risk if their contracts are updated.  </w:t>
      </w:r>
      <w:r w:rsidRPr="00E237D1">
        <w:rPr>
          <w:rFonts w:ascii="Poppins" w:eastAsia="Arial" w:hAnsi="Poppins" w:cs="Poppins"/>
          <w:iCs/>
        </w:rPr>
        <w:t>The Proposer</w:t>
      </w:r>
      <w:r w:rsidRPr="00E237D1">
        <w:rPr>
          <w:rFonts w:ascii="Poppins" w:eastAsia="Arial" w:hAnsi="Poppins" w:cs="Poppins"/>
        </w:rPr>
        <w:t xml:space="preserve"> suggested two possible approaches for charging assets when changes occur: Either only charge new assets under the CMP460 methodology, or charge all assets based on current asset values when a change is made.  </w:t>
      </w:r>
      <w:r w:rsidRPr="00E237D1">
        <w:rPr>
          <w:rFonts w:ascii="Poppins" w:eastAsia="Arial" w:hAnsi="Poppins" w:cs="Poppins"/>
          <w:iCs/>
        </w:rPr>
        <w:t>It was</w:t>
      </w:r>
      <w:r w:rsidRPr="00E237D1">
        <w:rPr>
          <w:rFonts w:ascii="Poppins" w:eastAsia="Arial" w:hAnsi="Poppins" w:cs="Poppins"/>
        </w:rPr>
        <w:t xml:space="preserve"> suggested that the latter would be more consistent with existing principles.  </w:t>
      </w:r>
    </w:p>
    <w:p w14:paraId="3E7A3306"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A Workgroup member noted that applicability and implementation could be tailored to each solution option, rather than applying a generic rule, as impacts differ depending on whether charges are added or removed. Another Workgroup member noted a query they had raised to NESO in 2024 on their approach to grid parks, where a sole User pays for the remaining asset life minus years already paid.  They confirmed that this was not a formal NESO policy.  The Proposer responded that CMP460 aims to provide clear policy direction for such cases.</w:t>
      </w:r>
    </w:p>
    <w:p w14:paraId="71044C09"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lastRenderedPageBreak/>
        <w:t>A Workgroup member asked how long DNOs would be protected from new charges and the implications for cost reflectivity if indefinite grandfathering is allowed. Another Workgroup member asked for clarity on definitions, with the Proposer confirming that all embedded projects will be in scope under CMP460.  The Proposer also clarified that any changes to TNUoS would take effect from the start of the next financial year, likely April 2027.</w:t>
      </w:r>
    </w:p>
    <w:p w14:paraId="4CE5F3D3" w14:textId="77777777" w:rsidR="00851805" w:rsidRPr="00E237D1" w:rsidRDefault="00851805" w:rsidP="00851805">
      <w:pPr>
        <w:spacing w:line="240" w:lineRule="auto"/>
        <w:rPr>
          <w:rFonts w:ascii="Poppins" w:eastAsia="Arial" w:hAnsi="Poppins" w:cs="Poppins"/>
        </w:rPr>
      </w:pPr>
      <w:r w:rsidRPr="00E237D1">
        <w:rPr>
          <w:rFonts w:ascii="Poppins" w:eastAsiaTheme="majorEastAsia" w:hAnsi="Poppins" w:cs="Poppins"/>
          <w:lang w:eastAsia="en-GB"/>
        </w:rPr>
        <w:t>A Workgroup member observed that if this Proposal was applied to contracted but not yet connected Users, there may be some unintended consequences and behaviours. If CMP460 comes into force on the 01 of April 2027 (current best estimate if the modification is accepted by Ofgem). It may incentivise those distribution projects with current project progression costs to seek delayed connection dates to avoid exposure to these connection costs. This may have implications for the ability to deliver Clean Power 2030 (CP30). However, it was accepted that the number of projects impacted by this scenario was not known and so the materiality was uncertain.</w:t>
      </w:r>
    </w:p>
    <w:p w14:paraId="04D96428" w14:textId="47445A84" w:rsidR="00851805" w:rsidRPr="00E237D1" w:rsidRDefault="00851805" w:rsidP="00851805">
      <w:pPr>
        <w:spacing w:line="240" w:lineRule="auto"/>
        <w:rPr>
          <w:rFonts w:ascii="Poppins" w:eastAsia="Arial" w:hAnsi="Poppins" w:cs="Poppins"/>
          <w:b/>
          <w:u w:val="single"/>
        </w:rPr>
      </w:pPr>
      <w:r w:rsidRPr="00E237D1">
        <w:rPr>
          <w:rFonts w:ascii="Poppins" w:eastAsia="Arial" w:hAnsi="Poppins" w:cs="Poppins"/>
          <w:b/>
          <w:u w:val="single"/>
        </w:rPr>
        <w:t xml:space="preserve">Impact </w:t>
      </w:r>
      <w:r w:rsidR="000B6371">
        <w:rPr>
          <w:rFonts w:ascii="Poppins" w:eastAsia="Arial" w:hAnsi="Poppins" w:cs="Poppins"/>
          <w:b/>
          <w:u w:val="single"/>
        </w:rPr>
        <w:t>A</w:t>
      </w:r>
      <w:r w:rsidRPr="00E237D1">
        <w:rPr>
          <w:rFonts w:ascii="Poppins" w:eastAsia="Arial" w:hAnsi="Poppins" w:cs="Poppins"/>
          <w:b/>
          <w:u w:val="single"/>
        </w:rPr>
        <w:t>ssessment of the Original Proposal</w:t>
      </w:r>
    </w:p>
    <w:p w14:paraId="22E41465"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The Proposer received data from National Grid Electricity Transmission (NGET) detailing the number of SGTs planned to be constructed over the next 9 years and the split between Connection Sites and Infrastructure Sites, and the split between Distribution Users and other Users. NESO provided data on the total planned Capital expenditure on Connection Assets over the next nine years, using data from existing connection agreements, this will include data from both distribution Users and other Users.</w:t>
      </w:r>
    </w:p>
    <w:p w14:paraId="22EF3392"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data received is based on existing connection agreements i.e. pre-Gate 2 offers, as the Gate 2 to Whole Queue (CMP435) is still being implemented by NESO and the Networks at the time of this report. It is likely that the absolute capital expenditure on Connection Assets will be reduced once the connections queue is reformed and around 500GW of capacity is removed from the connections queue. </w:t>
      </w:r>
    </w:p>
    <w:p w14:paraId="4D9A2973" w14:textId="18BECE6A"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impact assessments suggest that reclassifying all existing Connection Assets as Infrastructure Assets could increase the TDR for Domestic customers by £0.10 a year in 2027-28 and up to £2.30 a year in 2040-41. </w:t>
      </w:r>
      <w:r w:rsidR="00885229" w:rsidRPr="00E237D1">
        <w:rPr>
          <w:rFonts w:ascii="Poppins" w:eastAsia="Arial" w:hAnsi="Poppins" w:cs="Poppins"/>
        </w:rPr>
        <w:t xml:space="preserve">The impact assessment </w:t>
      </w:r>
      <w:r w:rsidR="00885229" w:rsidRPr="00E237D1">
        <w:rPr>
          <w:rFonts w:ascii="Poppins" w:eastAsia="Arial" w:hAnsi="Poppins" w:cs="Poppins"/>
        </w:rPr>
        <w:lastRenderedPageBreak/>
        <w:t>does not account for inflation.</w:t>
      </w:r>
      <w:r w:rsidR="00885229">
        <w:rPr>
          <w:rFonts w:ascii="Poppins" w:eastAsia="Arial" w:hAnsi="Poppins" w:cs="Poppins"/>
        </w:rPr>
        <w:t xml:space="preserve"> </w:t>
      </w:r>
      <w:r w:rsidRPr="00E237D1">
        <w:rPr>
          <w:rFonts w:ascii="Poppins" w:eastAsia="Arial" w:hAnsi="Poppins" w:cs="Poppins"/>
        </w:rPr>
        <w:t xml:space="preserve">The complete impact </w:t>
      </w:r>
      <w:r w:rsidR="00885229">
        <w:rPr>
          <w:rFonts w:ascii="Poppins" w:eastAsia="Arial" w:hAnsi="Poppins" w:cs="Poppins"/>
        </w:rPr>
        <w:t>assessment</w:t>
      </w:r>
      <w:r w:rsidRPr="00E237D1">
        <w:rPr>
          <w:rFonts w:ascii="Poppins" w:eastAsia="Arial" w:hAnsi="Poppins" w:cs="Poppins"/>
        </w:rPr>
        <w:t xml:space="preserve"> can be found in </w:t>
      </w:r>
      <w:r w:rsidRPr="00E97BAA">
        <w:rPr>
          <w:rFonts w:ascii="Poppins" w:eastAsia="Arial" w:hAnsi="Poppins" w:cs="Poppins"/>
          <w:b/>
          <w:bCs/>
          <w:highlight w:val="yellow"/>
        </w:rPr>
        <w:t>Annex 05</w:t>
      </w:r>
      <w:r w:rsidRPr="00E237D1">
        <w:rPr>
          <w:rFonts w:ascii="Poppins" w:eastAsia="Arial" w:hAnsi="Poppins" w:cs="Poppins"/>
        </w:rPr>
        <w:t>.</w:t>
      </w:r>
    </w:p>
    <w:p w14:paraId="44C98B2E"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Some Connection Assets will not be reclassified as Infrastructure Assets as they will not be shareable and can only benefit one User. It is not possible to know the % of existing Connection Assets </w:t>
      </w:r>
    </w:p>
    <w:p w14:paraId="02ED2AE6"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One reason for the relatively low impact on the TDR is that the cost of Connection Assets is typically recovered as one lump sum paid by the User when the connection is energised, whereas the cost of Infrastructure Assets is typically recovered over the lifetime of the assets (usually 40 years). The impact assessment assumes a 2% operational cost for maintaining and operating the additional Infrastructure Assets.</w:t>
      </w:r>
    </w:p>
    <w:p w14:paraId="5F935C18" w14:textId="77777777" w:rsidR="00851805" w:rsidRPr="00E237D1" w:rsidRDefault="00851805" w:rsidP="00851805">
      <w:pPr>
        <w:spacing w:line="240" w:lineRule="auto"/>
        <w:jc w:val="both"/>
        <w:rPr>
          <w:rFonts w:ascii="Poppins" w:eastAsia="Arial" w:hAnsi="Poppins" w:cs="Poppins"/>
        </w:rPr>
      </w:pPr>
      <w:r w:rsidRPr="00E237D1">
        <w:rPr>
          <w:rFonts w:ascii="Poppins" w:eastAsia="Arial" w:hAnsi="Poppins" w:cs="Poppins"/>
        </w:rPr>
        <w:t xml:space="preserve">It must be noted that many GSPs in the UK are classified as Infrastructure Sites, i.e. they have more than one User Connected. The Baseline already classifies any Transmission Assets at infrastructure sites as Infrastructure assets, which means many assets which one may expect to be included in the impact assessment are not included when comparing the TDR in the Baseline and the Original Proposal.  </w:t>
      </w:r>
    </w:p>
    <w:p w14:paraId="3340FACF" w14:textId="77777777" w:rsidR="00851805" w:rsidRPr="00E237D1" w:rsidRDefault="00851805" w:rsidP="00851805">
      <w:pPr>
        <w:spacing w:line="240" w:lineRule="auto"/>
        <w:rPr>
          <w:rFonts w:ascii="Poppins" w:hAnsi="Poppins" w:cs="Poppins"/>
          <w:iCs/>
          <w:color w:val="FF00FF"/>
        </w:rPr>
      </w:pPr>
      <w:r w:rsidRPr="00E237D1">
        <w:rPr>
          <w:rFonts w:ascii="Poppins" w:eastAsia="Arial" w:hAnsi="Poppins" w:cs="Poppins"/>
        </w:rPr>
        <w:t xml:space="preserve">It must be noted that many GSPs in the UK are classified as Infrastructure Sites, i.e. they have more than one User Connected. The </w:t>
      </w:r>
      <w:r w:rsidRPr="00E237D1" w:rsidDel="00AF3975">
        <w:rPr>
          <w:rFonts w:ascii="Poppins" w:eastAsia="Arial" w:hAnsi="Poppins" w:cs="Poppins"/>
        </w:rPr>
        <w:t>B</w:t>
      </w:r>
      <w:r w:rsidRPr="00E237D1">
        <w:rPr>
          <w:rFonts w:ascii="Poppins" w:eastAsia="Arial" w:hAnsi="Poppins" w:cs="Poppins"/>
        </w:rPr>
        <w:t xml:space="preserve">aseline already classifies any Transmission Assets at infrastructure sites as Infrastructure assets, which means many assets which one may expect to be included in the impact assessment are not included when comparing the TDR in the </w:t>
      </w:r>
      <w:r w:rsidRPr="00E237D1" w:rsidDel="00AF3975">
        <w:rPr>
          <w:rFonts w:ascii="Poppins" w:eastAsia="Arial" w:hAnsi="Poppins" w:cs="Poppins"/>
        </w:rPr>
        <w:t>B</w:t>
      </w:r>
      <w:r w:rsidRPr="00E237D1">
        <w:rPr>
          <w:rFonts w:ascii="Poppins" w:eastAsia="Arial" w:hAnsi="Poppins" w:cs="Poppins"/>
        </w:rPr>
        <w:t xml:space="preserve">aseline and the </w:t>
      </w:r>
      <w:r w:rsidRPr="00E237D1" w:rsidDel="00AF3975">
        <w:rPr>
          <w:rFonts w:ascii="Poppins" w:eastAsia="Arial" w:hAnsi="Poppins" w:cs="Poppins"/>
        </w:rPr>
        <w:t>O</w:t>
      </w:r>
      <w:r w:rsidRPr="00E237D1">
        <w:rPr>
          <w:rFonts w:ascii="Poppins" w:eastAsia="Arial" w:hAnsi="Poppins" w:cs="Poppins"/>
        </w:rPr>
        <w:t xml:space="preserve">riginal </w:t>
      </w:r>
      <w:r w:rsidRPr="00E237D1" w:rsidDel="00AF3975">
        <w:rPr>
          <w:rFonts w:ascii="Poppins" w:eastAsia="Arial" w:hAnsi="Poppins" w:cs="Poppins"/>
        </w:rPr>
        <w:t>P</w:t>
      </w:r>
      <w:r w:rsidRPr="00E237D1">
        <w:rPr>
          <w:rFonts w:ascii="Poppins" w:eastAsia="Arial" w:hAnsi="Poppins" w:cs="Poppins"/>
        </w:rPr>
        <w:t xml:space="preserve">roposal.  </w:t>
      </w:r>
      <w:r w:rsidRPr="00E237D1" w:rsidDel="0CEC4ED6">
        <w:rPr>
          <w:rFonts w:ascii="Poppins" w:eastAsia="Arial" w:hAnsi="Poppins" w:cs="Poppins"/>
        </w:rPr>
        <w:t xml:space="preserve">Making </w:t>
      </w:r>
      <w:r w:rsidRPr="00E237D1">
        <w:rPr>
          <w:rFonts w:ascii="Poppins" w:eastAsia="Arial" w:hAnsi="Poppins" w:cs="Poppins"/>
        </w:rPr>
        <w:t xml:space="preserve">it </w:t>
      </w:r>
      <w:r w:rsidRPr="00E237D1" w:rsidDel="0CEC4ED6">
        <w:rPr>
          <w:rFonts w:ascii="Poppins" w:eastAsia="Arial" w:hAnsi="Poppins" w:cs="Poppins"/>
        </w:rPr>
        <w:t xml:space="preserve">clear </w:t>
      </w:r>
      <w:r w:rsidRPr="00E237D1" w:rsidDel="7F0A9FD6">
        <w:rPr>
          <w:rFonts w:ascii="Poppins" w:eastAsia="Arial" w:hAnsi="Poppins" w:cs="Poppins"/>
        </w:rPr>
        <w:t>some</w:t>
      </w:r>
      <w:r w:rsidRPr="00E237D1" w:rsidDel="0CEC4ED6">
        <w:rPr>
          <w:rFonts w:ascii="Poppins" w:eastAsia="Arial" w:hAnsi="Poppins" w:cs="Poppins"/>
        </w:rPr>
        <w:t xml:space="preserve"> infrastructure costs are </w:t>
      </w:r>
      <w:r w:rsidRPr="00E237D1" w:rsidDel="6EE69925">
        <w:rPr>
          <w:rFonts w:ascii="Poppins" w:eastAsia="Arial" w:hAnsi="Poppins" w:cs="Poppins"/>
        </w:rPr>
        <w:t>socialised</w:t>
      </w:r>
      <w:r w:rsidRPr="00E237D1">
        <w:rPr>
          <w:rFonts w:ascii="Poppins" w:eastAsia="Arial" w:hAnsi="Poppins" w:cs="Poppins"/>
        </w:rPr>
        <w:t>.</w:t>
      </w:r>
    </w:p>
    <w:p w14:paraId="38E8473B" w14:textId="77777777" w:rsidR="00851805" w:rsidRPr="00E237D1" w:rsidRDefault="00851805" w:rsidP="00851805">
      <w:pPr>
        <w:spacing w:line="240" w:lineRule="auto"/>
        <w:rPr>
          <w:rFonts w:ascii="Poppins" w:eastAsia="Arial" w:hAnsi="Poppins" w:cs="Poppins"/>
          <w:b/>
          <w:u w:val="single"/>
        </w:rPr>
      </w:pPr>
      <w:r w:rsidRPr="00E237D1">
        <w:rPr>
          <w:rFonts w:ascii="Poppins" w:eastAsia="Arial" w:hAnsi="Poppins" w:cs="Poppins"/>
          <w:b/>
          <w:u w:val="single"/>
        </w:rPr>
        <w:t xml:space="preserve">Consideration of Relevant DCUSA Modifications </w:t>
      </w:r>
    </w:p>
    <w:p w14:paraId="42016545"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A Workgroup member asked whether this modification could dictate how DNOs pass on charges to their Customers, suggesting that this is the remit of DCUSA DCP461 rather than this modification.  The Proposer agreed, stating this modification can only determine what is charged to DNOs, not how they recover it.</w:t>
      </w:r>
    </w:p>
    <w:p w14:paraId="4A96E2CE"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Ofgem were asked for further clarification on non-discriminatory solutions and was asked about the potential impact of the ongoing TNUoS review and broader regulatory reforms on this modification. The Ofgem representative confirmed </w:t>
      </w:r>
      <w:r w:rsidRPr="00E237D1">
        <w:rPr>
          <w:rFonts w:ascii="Poppins" w:eastAsia="Arial" w:hAnsi="Poppins" w:cs="Poppins"/>
        </w:rPr>
        <w:lastRenderedPageBreak/>
        <w:t>that policy developments are at an early stage, with too many variables to determine the extent of interaction.</w:t>
      </w:r>
    </w:p>
    <w:p w14:paraId="1987D167"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When reviewing the Terms of Reference, the Workgroup members identified additional potentially relevant modifications beyond DCP461, including ‘</w:t>
      </w:r>
      <w:hyperlink r:id="rId20" w:history="1">
        <w:r w:rsidRPr="00E237D1">
          <w:rPr>
            <w:rStyle w:val="Hyperlink"/>
            <w:rFonts w:ascii="Poppins" w:eastAsia="Arial" w:hAnsi="Poppins" w:cs="Poppins"/>
          </w:rPr>
          <w:t>DCP464: DNO Connection Applications: Treatment of Existing Assets</w:t>
        </w:r>
      </w:hyperlink>
      <w:r w:rsidRPr="00E237D1">
        <w:rPr>
          <w:rFonts w:ascii="Poppins" w:eastAsia="Arial" w:hAnsi="Poppins" w:cs="Poppins"/>
        </w:rPr>
        <w:t>’ and ‘</w:t>
      </w:r>
      <w:hyperlink r:id="rId21" w:history="1">
        <w:r w:rsidRPr="00E237D1">
          <w:rPr>
            <w:rStyle w:val="Hyperlink"/>
            <w:rFonts w:ascii="Poppins" w:eastAsia="Arial" w:hAnsi="Poppins" w:cs="Poppins"/>
          </w:rPr>
          <w:t>DCP392: Charging of Third Party DNO Works to Transmission Connection Users</w:t>
        </w:r>
      </w:hyperlink>
      <w:r w:rsidRPr="00E237D1">
        <w:rPr>
          <w:rFonts w:ascii="Poppins" w:eastAsia="Arial" w:hAnsi="Poppins" w:cs="Poppins"/>
        </w:rPr>
        <w:t>’. The consensus was that DCP461 should be monitored for consistency of principles rather than treated as directly relevant to CMP460. The Proposer presented their review regarding DCP392 in that it is clear from the decision letter that there were concerns with applying the ECCR to transmission-connected customers because they are not a party to the CUSC, and the ECCR is enacted through secondary legislation. CMP460 does not have the same issue, as it is looking at how to charge distribution network Users and other parties who are party to the CUSC. This is also why it is believed that a DCUSA and CUSC modification are required in parallel. Ofgem rejected DCP392 because it did not think it was a fair charging regime.</w:t>
      </w:r>
    </w:p>
    <w:p w14:paraId="0A792AB9" w14:textId="77777777" w:rsidR="00851805" w:rsidRDefault="00851805" w:rsidP="00851805">
      <w:pPr>
        <w:spacing w:line="240" w:lineRule="auto"/>
        <w:rPr>
          <w:rFonts w:ascii="Poppins" w:eastAsia="Arial" w:hAnsi="Poppins" w:cs="Poppins"/>
        </w:rPr>
      </w:pPr>
      <w:r w:rsidRPr="00E237D1">
        <w:rPr>
          <w:rFonts w:ascii="Poppins" w:hAnsi="Poppins" w:cs="Poppins"/>
        </w:rPr>
        <w:t xml:space="preserve">The Workgroup noted the interaction with DCUSA modification </w:t>
      </w:r>
      <w:hyperlink r:id="rId22" w:history="1">
        <w:r w:rsidRPr="00E237D1">
          <w:rPr>
            <w:rFonts w:ascii="Poppins" w:hAnsi="Poppins" w:cs="Poppins"/>
          </w:rPr>
          <w:t>DCP461</w:t>
        </w:r>
      </w:hyperlink>
      <w:r w:rsidRPr="00E237D1">
        <w:rPr>
          <w:rFonts w:ascii="Poppins" w:hAnsi="Poppins" w:cs="Poppins"/>
        </w:rPr>
        <w:t>, which deals with how DNOs recover the cost of Transmission Connection Assets, whatever costs are charged to DNOs by NESO under either baseline or CMP460. A Workgroup member highlighted that any approved CUSC and DCUSA solutions should be aligned, which Ofgem is considered likely to pay attention to.</w:t>
      </w:r>
      <w:r w:rsidRPr="00E237D1">
        <w:rPr>
          <w:rFonts w:ascii="Poppins" w:eastAsia="Arial" w:hAnsi="Poppins" w:cs="Poppins"/>
        </w:rPr>
        <w:t xml:space="preserve"> A Workgroup member reported back on DCP461 Workgroup discussions with set of solution options ranging from full socialisation of Transmission Connection Asset costs to proportional charging, to a clarified status quo. It was noted that options under DCP461 may act as short-term fixes to problems that CMP460 is also trying to solve. Both modifications should “acknowledge” each other, but they do not need to take identical approaches (indeed they are operating in different charging domains as CMP460 is about what costs are passed across to the DNOs by NESO vs what is retained in TNUoS, and DCP461 is about </w:t>
      </w:r>
      <w:r w:rsidRPr="00E237D1">
        <w:rPr>
          <w:rFonts w:ascii="Poppins" w:hAnsi="Poppins" w:cs="Poppins"/>
        </w:rPr>
        <w:t>how DNOs recover the costs that are passed through to them by NESO</w:t>
      </w:r>
      <w:r w:rsidRPr="00E237D1">
        <w:rPr>
          <w:rFonts w:ascii="Poppins" w:eastAsia="Arial" w:hAnsi="Poppins" w:cs="Poppins"/>
        </w:rPr>
        <w:t>. They are in a sense complementary, for example the decision taken on one may affect the decision on what is the ideal solution for the other, but at the same time formally they are entirely distinct).</w:t>
      </w:r>
    </w:p>
    <w:p w14:paraId="3225225F" w14:textId="77777777" w:rsidR="00885229" w:rsidRPr="00E237D1" w:rsidRDefault="00885229" w:rsidP="00851805">
      <w:pPr>
        <w:spacing w:line="240" w:lineRule="auto"/>
        <w:rPr>
          <w:rFonts w:ascii="Poppins" w:eastAsia="Arial" w:hAnsi="Poppins" w:cs="Poppins"/>
        </w:rPr>
      </w:pPr>
    </w:p>
    <w:p w14:paraId="04C15637" w14:textId="77777777" w:rsidR="003B4070" w:rsidRDefault="003B4070">
      <w:pPr>
        <w:spacing w:line="300" w:lineRule="atLeast"/>
        <w:rPr>
          <w:kern w:val="0"/>
          <w14:ligatures w14:val="none"/>
        </w:rPr>
      </w:pPr>
      <w:r>
        <w:rPr>
          <w:rFonts w:ascii="Poppins" w:hAnsi="Poppins" w:cs="Poppins"/>
          <w:b/>
          <w:bCs/>
          <w:u w:val="single"/>
        </w:rPr>
        <w:lastRenderedPageBreak/>
        <w:t>Tertiary Connections and Grid Parks</w:t>
      </w:r>
    </w:p>
    <w:p w14:paraId="5C1039B8" w14:textId="77777777" w:rsidR="007D2A89" w:rsidRDefault="007D2A89">
      <w:pPr>
        <w:spacing w:after="0" w:line="300" w:lineRule="atLeast"/>
        <w:rPr>
          <w:kern w:val="0"/>
          <w14:ligatures w14:val="none"/>
        </w:rPr>
      </w:pPr>
      <w:r>
        <w:rPr>
          <w:rFonts w:ascii="Poppins" w:hAnsi="Poppins" w:cs="Poppins"/>
          <w:color w:val="000000"/>
        </w:rPr>
        <w:t>The Proposer explained that further clarification may be required for certain edge cases, including tertiary Connections and grid park arrangements, where inconsistent treatment has been observed historically. Workgroup members noted the importance of clear drafting and updated worked examples to support consistent interpretation and application of the Legal Text in practice.</w:t>
      </w:r>
    </w:p>
    <w:p w14:paraId="116C9BAB" w14:textId="77777777" w:rsidR="00851805" w:rsidRPr="00E237D1" w:rsidRDefault="00851805" w:rsidP="00851805">
      <w:pPr>
        <w:spacing w:after="0" w:line="240" w:lineRule="auto"/>
        <w:rPr>
          <w:rFonts w:ascii="Poppins" w:hAnsi="Poppins" w:cs="Poppins"/>
        </w:rPr>
      </w:pPr>
    </w:p>
    <w:p w14:paraId="436D1CB0" w14:textId="22E8DE7F" w:rsidR="007D2A89" w:rsidRDefault="007D2A89">
      <w:pPr>
        <w:spacing w:after="0" w:line="300" w:lineRule="atLeast"/>
        <w:rPr>
          <w:kern w:val="0"/>
          <w14:ligatures w14:val="none"/>
        </w:rPr>
      </w:pPr>
      <w:r>
        <w:rPr>
          <w:rFonts w:ascii="Poppins" w:hAnsi="Poppins" w:cs="Poppins"/>
          <w:color w:val="000000"/>
        </w:rPr>
        <w:t>The Workgroup discussed the classification of assets where a single User connects via a tertiary winding of a transformer. Members highlighted that the SGT may be treated as an Infrastructure Asset due to serving two Users, while associated lower</w:t>
      </w:r>
      <w:r>
        <w:rPr>
          <w:rFonts w:ascii="Poppins" w:hAnsi="Poppins" w:cs="Poppins"/>
          <w:color w:val="000000"/>
        </w:rPr>
        <w:noBreakHyphen/>
        <w:t>voltage equipment (e.g. 33 kV transformer and switchgear) may remain Connection Assets. The Workgroup noted the need for clear rules on whether all SGTs at a site should be treated as Infrastructure Assets where a tertiary connection exists on one SGT.</w:t>
      </w:r>
    </w:p>
    <w:p w14:paraId="28C92842" w14:textId="77777777" w:rsidR="00851805" w:rsidRPr="00E237D1" w:rsidRDefault="00851805" w:rsidP="00851805">
      <w:pPr>
        <w:spacing w:after="0" w:line="240" w:lineRule="auto"/>
        <w:rPr>
          <w:rFonts w:ascii="Poppins" w:hAnsi="Poppins" w:cs="Poppins"/>
        </w:rPr>
      </w:pPr>
    </w:p>
    <w:p w14:paraId="4A1F2089" w14:textId="0EF6A0DA" w:rsidR="007D2A89" w:rsidRPr="00ED0D2D" w:rsidRDefault="00ED0D2D">
      <w:pPr>
        <w:spacing w:line="300" w:lineRule="atLeast"/>
        <w:rPr>
          <w:rFonts w:ascii="Poppins" w:hAnsi="Poppins" w:cs="Poppins"/>
          <w:color w:val="000000"/>
        </w:rPr>
      </w:pPr>
      <w:r>
        <w:rPr>
          <w:rFonts w:ascii="Poppins" w:hAnsi="Poppins" w:cs="Poppins"/>
          <w:color w:val="000000"/>
        </w:rPr>
        <w:t xml:space="preserve">Later </w:t>
      </w:r>
      <w:r w:rsidR="007D2A89">
        <w:rPr>
          <w:rFonts w:ascii="Poppins" w:hAnsi="Poppins" w:cs="Poppins"/>
          <w:color w:val="000000"/>
        </w:rPr>
        <w:t>discuss</w:t>
      </w:r>
      <w:r>
        <w:rPr>
          <w:rFonts w:ascii="Poppins" w:hAnsi="Poppins" w:cs="Poppins"/>
          <w:color w:val="000000"/>
        </w:rPr>
        <w:t xml:space="preserve">ions </w:t>
      </w:r>
      <w:r w:rsidR="00563213">
        <w:rPr>
          <w:rFonts w:ascii="Poppins" w:hAnsi="Poppins" w:cs="Poppins"/>
          <w:color w:val="000000"/>
        </w:rPr>
        <w:t>considered</w:t>
      </w:r>
      <w:r w:rsidR="007D2A89">
        <w:rPr>
          <w:rFonts w:ascii="Poppins" w:hAnsi="Poppins" w:cs="Poppins"/>
          <w:color w:val="000000"/>
        </w:rPr>
        <w:t xml:space="preserve"> how grid parks are treated, including differences between single</w:t>
      </w:r>
      <w:r w:rsidR="007D2A89">
        <w:rPr>
          <w:rFonts w:ascii="Poppins" w:hAnsi="Poppins" w:cs="Poppins"/>
          <w:color w:val="000000"/>
        </w:rPr>
        <w:noBreakHyphen/>
        <w:t>User and multiple</w:t>
      </w:r>
      <w:r w:rsidR="007D2A89">
        <w:rPr>
          <w:rFonts w:ascii="Poppins" w:hAnsi="Poppins" w:cs="Poppins"/>
          <w:color w:val="000000"/>
        </w:rPr>
        <w:noBreakHyphen/>
        <w:t>User arrangements and how assets such as SGTs, busbars, bays</w:t>
      </w:r>
      <w:r>
        <w:rPr>
          <w:rFonts w:ascii="Poppins" w:hAnsi="Poppins" w:cs="Poppins"/>
          <w:color w:val="000000"/>
        </w:rPr>
        <w:t>,</w:t>
      </w:r>
      <w:r w:rsidR="007D2A89">
        <w:rPr>
          <w:rFonts w:ascii="Poppins" w:hAnsi="Poppins" w:cs="Poppins"/>
          <w:color w:val="000000"/>
        </w:rPr>
        <w:t xml:space="preserve"> and feeders are classified. Members also discussed directly connected final Demand Users (e.g. data centres) and where the boundary between Connection Assets and User assets should be drawn. The Workgroup agreed that worked examples should be updated or expanded to support consistent interpretation.</w:t>
      </w:r>
    </w:p>
    <w:p w14:paraId="2FCA9912" w14:textId="32D00BB5" w:rsidR="00851805" w:rsidRPr="00E237D1" w:rsidRDefault="00851805" w:rsidP="00851805">
      <w:pPr>
        <w:spacing w:line="240" w:lineRule="auto"/>
        <w:rPr>
          <w:rFonts w:ascii="Poppins" w:eastAsia="Arial" w:hAnsi="Poppins" w:cs="Poppins"/>
          <w:b/>
          <w:u w:val="single"/>
        </w:rPr>
      </w:pPr>
      <w:r w:rsidRPr="00E237D1">
        <w:rPr>
          <w:rFonts w:ascii="Poppins" w:eastAsia="Arial" w:hAnsi="Poppins" w:cs="Poppins"/>
          <w:b/>
          <w:u w:val="single"/>
        </w:rPr>
        <w:t>Baseline Current Capabilities, Operations, and Limitations</w:t>
      </w:r>
    </w:p>
    <w:p w14:paraId="0A5F05CF"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baseline connection charge arrangements are on the basis of recovery made over the transmission Connection Asset book life, typically in CUSC 40 years.   Arrangements within CUSC, specifically clause 14.3.12, exist to give the User discretion to pay back all or some of the Connection Asset capital in lump sums if the User wishes.  A worked example spreadsheet is included in </w:t>
      </w:r>
      <w:r w:rsidRPr="00E97BAA">
        <w:rPr>
          <w:rFonts w:ascii="Poppins" w:eastAsia="Arial" w:hAnsi="Poppins" w:cs="Poppins"/>
          <w:b/>
          <w:highlight w:val="yellow"/>
        </w:rPr>
        <w:t>Annex 06</w:t>
      </w:r>
      <w:r w:rsidRPr="00E237D1">
        <w:rPr>
          <w:rFonts w:ascii="Poppins" w:eastAsia="Arial" w:hAnsi="Poppins" w:cs="Poppins"/>
        </w:rPr>
        <w:t xml:space="preserve"> to this consultation.</w:t>
      </w:r>
    </w:p>
    <w:p w14:paraId="7A6E8780" w14:textId="621A2576" w:rsidR="00851805" w:rsidRPr="00E237D1" w:rsidRDefault="00851805" w:rsidP="00851805">
      <w:pPr>
        <w:spacing w:line="240" w:lineRule="auto"/>
        <w:rPr>
          <w:rFonts w:ascii="Poppins" w:eastAsia="Arial" w:hAnsi="Poppins" w:cs="Poppins"/>
        </w:rPr>
      </w:pPr>
      <w:r w:rsidRPr="00E237D1">
        <w:rPr>
          <w:rFonts w:ascii="Poppins" w:eastAsia="Arial" w:hAnsi="Poppins" w:cs="Poppins"/>
        </w:rPr>
        <w:t xml:space="preserve">The User can opt to pay a proportion of its choice as capital contributions, for example the Megawatt (MW) capacity proportional to a DNO’s embedded customer’s need.  </w:t>
      </w:r>
    </w:p>
    <w:p w14:paraId="7D512744" w14:textId="041F397B" w:rsidR="00851805" w:rsidRPr="00E237D1" w:rsidRDefault="00851805" w:rsidP="00851805">
      <w:pPr>
        <w:spacing w:line="240" w:lineRule="auto"/>
        <w:rPr>
          <w:rFonts w:ascii="Poppins" w:eastAsia="Arial" w:hAnsi="Poppins" w:cs="Poppins"/>
        </w:rPr>
      </w:pPr>
      <w:r w:rsidRPr="00E237D1">
        <w:rPr>
          <w:rFonts w:ascii="Poppins" w:eastAsia="Arial" w:hAnsi="Poppins" w:cs="Poppins"/>
        </w:rPr>
        <w:lastRenderedPageBreak/>
        <w:t>The selection of 100% capital contribution by DNOs under clause 14.3.12 is due to an absence of RIIO-ED regulatory funding for some transmission connection works and not due to an absence of a mechanism in CUSC for payment over time.   The use of this pre-existing mechanism requires no change to</w:t>
      </w:r>
      <w:r w:rsidR="003E60B1">
        <w:rPr>
          <w:rFonts w:ascii="Poppins" w:eastAsia="Arial" w:hAnsi="Poppins" w:cs="Poppins"/>
        </w:rPr>
        <w:t xml:space="preserve"> </w:t>
      </w:r>
      <w:r w:rsidRPr="00E237D1">
        <w:rPr>
          <w:rFonts w:ascii="Poppins" w:eastAsia="Arial" w:hAnsi="Poppins" w:cs="Poppins"/>
        </w:rPr>
        <w:t>Transmission Asset classifications</w:t>
      </w:r>
    </w:p>
    <w:p w14:paraId="2D5C5FF4" w14:textId="3CECC5C7" w:rsidR="00851805" w:rsidRPr="00E237D1" w:rsidRDefault="00851805" w:rsidP="00851805">
      <w:pPr>
        <w:spacing w:line="240" w:lineRule="auto"/>
        <w:rPr>
          <w:rFonts w:ascii="Poppins" w:eastAsia="Arial" w:hAnsi="Poppins" w:cs="Poppins"/>
        </w:rPr>
      </w:pPr>
      <w:r w:rsidRPr="00E237D1">
        <w:rPr>
          <w:rFonts w:ascii="Poppins" w:eastAsia="Arial" w:hAnsi="Poppins" w:cs="Poppins"/>
        </w:rPr>
        <w:t>The baseline CUSC states 10% minimum capital repayments.  A minor administrative modification to reduce the minimum capital contribution, for example to 2% to relate to 5MW need of a 240MW upgrade could be made.  Such a modification would require no change to Transmission Asset classification.</w:t>
      </w:r>
    </w:p>
    <w:p w14:paraId="4BD9DE0B" w14:textId="77777777" w:rsidR="00851805" w:rsidRPr="00E237D1" w:rsidRDefault="00851805" w:rsidP="00851805">
      <w:pPr>
        <w:spacing w:line="240" w:lineRule="auto"/>
        <w:rPr>
          <w:rFonts w:ascii="Poppins" w:eastAsia="Arial" w:hAnsi="Poppins" w:cs="Poppins"/>
        </w:rPr>
      </w:pPr>
      <w:r w:rsidRPr="00E237D1">
        <w:rPr>
          <w:rFonts w:ascii="Poppins" w:eastAsia="Arial" w:hAnsi="Poppins" w:cs="Poppins"/>
        </w:rPr>
        <w:t>The CUSC clause 14.3.12’s % minimum limit of capital contribution towards transmission Connection Assets does not appear to apply to an initial capital contribution, for example at time of construction, such as would already be reflected in the starting connection charges. Potentially no modification of the lower % limit would be required in respect of an initial connection charging position (such as incorporating a 2% contribution from a DNO customer).</w:t>
      </w:r>
    </w:p>
    <w:p w14:paraId="00283400" w14:textId="29882F30" w:rsidR="00851805" w:rsidRPr="0047595A" w:rsidRDefault="00851805" w:rsidP="00851805">
      <w:pPr>
        <w:tabs>
          <w:tab w:val="left" w:pos="1080"/>
        </w:tabs>
        <w:spacing w:before="240" w:after="240" w:line="240" w:lineRule="auto"/>
        <w:ind w:left="1080" w:hanging="1080"/>
        <w:rPr>
          <w:rFonts w:ascii="Poppins" w:eastAsia="Poppins" w:hAnsi="Poppins" w:cs="Poppins"/>
          <w:iCs/>
        </w:rPr>
      </w:pPr>
      <w:r w:rsidRPr="0047595A">
        <w:rPr>
          <w:rFonts w:ascii="Poppins" w:eastAsia="Poppins" w:hAnsi="Poppins" w:cs="Poppins"/>
          <w:iCs/>
        </w:rPr>
        <w:t>Existing CUSC 14.3.12</w:t>
      </w:r>
      <w:r w:rsidR="0047595A">
        <w:rPr>
          <w:rFonts w:ascii="Poppins" w:eastAsia="Poppins" w:hAnsi="Poppins" w:cs="Poppins"/>
          <w:iCs/>
        </w:rPr>
        <w:t>:</w:t>
      </w:r>
      <w:r w:rsidRPr="0047595A">
        <w:rPr>
          <w:rFonts w:ascii="Poppins" w:hAnsi="Poppins" w:cs="Poppins"/>
          <w:iCs/>
        </w:rPr>
        <w:tab/>
      </w:r>
      <w:r w:rsidRPr="0047595A">
        <w:rPr>
          <w:rFonts w:ascii="Poppins" w:hAnsi="Poppins" w:cs="Poppins"/>
          <w:iCs/>
        </w:rPr>
        <w:tab/>
      </w:r>
      <w:r w:rsidRPr="0047595A">
        <w:rPr>
          <w:rFonts w:ascii="Poppins" w:hAnsi="Poppins" w:cs="Poppins"/>
          <w:iCs/>
        </w:rPr>
        <w:tab/>
      </w:r>
    </w:p>
    <w:p w14:paraId="215F9BF9" w14:textId="77777777" w:rsidR="00851805" w:rsidRPr="00E237D1" w:rsidRDefault="00851805" w:rsidP="00851805">
      <w:pPr>
        <w:spacing w:line="240" w:lineRule="auto"/>
        <w:rPr>
          <w:rFonts w:ascii="Poppins" w:eastAsia="Arial" w:hAnsi="Poppins" w:cs="Poppins"/>
        </w:rPr>
      </w:pPr>
      <w:r w:rsidRPr="00E237D1">
        <w:rPr>
          <w:rFonts w:ascii="Poppins" w:eastAsia="Poppins" w:hAnsi="Poppins" w:cs="Poppins"/>
          <w:i/>
        </w:rPr>
        <w:t>A User can choose to make a capital contribution based on the allocated and depreciated NAV of a commissioned asset. For a capital contribution to take account at the start of charging year n, the User may, at most once per year, make a full or partial capital contribution of at least 10% of the NAV prevailing as of 31st March in year n-1. The User shall notify the Company of the capital contribution amount no later than 1st September in year n-1, and pay the capital contribution 45 days prior to the start of charging year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charging year n and subsequent years.</w:t>
      </w:r>
    </w:p>
    <w:p w14:paraId="6BEF6D3B" w14:textId="43867DB4" w:rsidR="00851805" w:rsidRPr="00E237D1" w:rsidRDefault="00851805" w:rsidP="00851805">
      <w:pPr>
        <w:spacing w:line="240" w:lineRule="auto"/>
        <w:rPr>
          <w:rFonts w:ascii="Poppins" w:hAnsi="Poppins" w:cs="Poppins"/>
          <w:b/>
          <w:color w:val="3F0731"/>
        </w:rPr>
      </w:pPr>
      <w:r w:rsidRPr="00E237D1">
        <w:rPr>
          <w:rFonts w:ascii="Poppins" w:hAnsi="Poppins" w:cs="Poppins"/>
          <w:b/>
          <w:color w:val="3F0731"/>
        </w:rPr>
        <w:t xml:space="preserve">Draft </w:t>
      </w:r>
      <w:r w:rsidR="00234BC9">
        <w:rPr>
          <w:rFonts w:ascii="Poppins" w:hAnsi="Poppins" w:cs="Poppins"/>
          <w:b/>
          <w:color w:val="3F0731"/>
        </w:rPr>
        <w:t>L</w:t>
      </w:r>
      <w:r w:rsidRPr="00E237D1">
        <w:rPr>
          <w:rFonts w:ascii="Poppins" w:hAnsi="Poppins" w:cs="Poppins"/>
          <w:b/>
          <w:color w:val="3F0731"/>
        </w:rPr>
        <w:t xml:space="preserve">egal </w:t>
      </w:r>
      <w:r w:rsidR="00234BC9">
        <w:rPr>
          <w:rFonts w:ascii="Poppins" w:hAnsi="Poppins" w:cs="Poppins"/>
          <w:b/>
          <w:color w:val="3F0731"/>
        </w:rPr>
        <w:t>T</w:t>
      </w:r>
      <w:r w:rsidRPr="00E237D1">
        <w:rPr>
          <w:rFonts w:ascii="Poppins" w:hAnsi="Poppins" w:cs="Poppins"/>
          <w:b/>
          <w:color w:val="3F0731"/>
        </w:rPr>
        <w:t>ext</w:t>
      </w:r>
    </w:p>
    <w:p w14:paraId="177EDDB5" w14:textId="06D916A7" w:rsidR="00541AB1" w:rsidRPr="00234BC9" w:rsidRDefault="00851805" w:rsidP="00234BC9">
      <w:pPr>
        <w:pStyle w:val="BodyText"/>
        <w:rPr>
          <w:rFonts w:cs="Poppins"/>
          <w:sz w:val="24"/>
          <w:szCs w:val="24"/>
        </w:rPr>
      </w:pPr>
      <w:r w:rsidRPr="00E237D1">
        <w:rPr>
          <w:rFonts w:ascii="Times New Roman" w:hAnsi="Times New Roman" w:cs="Times New Roman"/>
          <w:sz w:val="24"/>
          <w:szCs w:val="24"/>
        </w:rPr>
        <w:t>​​</w:t>
      </w:r>
      <w:r w:rsidRPr="00E237D1">
        <w:rPr>
          <w:rFonts w:cs="Poppins"/>
          <w:sz w:val="24"/>
          <w:szCs w:val="24"/>
        </w:rPr>
        <w:t>The proposed solution will require amendments to Section 14, mainly Part 1. The solution may require the creation of new definitions for Connection Asset and Infrastructure Assets or other types of assets in Section 11 of the CUSC.</w:t>
      </w:r>
      <w:r w:rsidR="009F394C">
        <w:rPr>
          <w:rFonts w:cs="Poppins"/>
          <w:sz w:val="24"/>
          <w:szCs w:val="24"/>
        </w:rPr>
        <w:t xml:space="preserve"> </w:t>
      </w:r>
      <w:r w:rsidRPr="00E237D1">
        <w:rPr>
          <w:rFonts w:cs="Poppins"/>
          <w:sz w:val="24"/>
          <w:szCs w:val="24"/>
        </w:rPr>
        <w:t xml:space="preserve">The </w:t>
      </w:r>
      <w:r w:rsidRPr="00E237D1">
        <w:rPr>
          <w:rFonts w:cs="Poppins"/>
          <w:sz w:val="24"/>
          <w:szCs w:val="24"/>
        </w:rPr>
        <w:lastRenderedPageBreak/>
        <w:t xml:space="preserve">definition of Transmission Connection Asset and Infrastructure Asset is defined in sections 14.2.5 to 14.2.8. </w:t>
      </w:r>
    </w:p>
    <w:p w14:paraId="553D5057" w14:textId="77777777" w:rsidR="0062346F" w:rsidRPr="00ED6BAC" w:rsidRDefault="0062346F" w:rsidP="00ED6BAC">
      <w:pPr>
        <w:pStyle w:val="Heading2"/>
        <w:rPr>
          <w:rFonts w:ascii="Poppins" w:hAnsi="Poppins" w:cs="Poppins"/>
          <w:color w:val="3F0731"/>
          <w:szCs w:val="28"/>
        </w:rPr>
      </w:pPr>
      <w:bookmarkStart w:id="24" w:name="_Toc74204543"/>
      <w:bookmarkStart w:id="25" w:name="_Toc207608720"/>
      <w:r w:rsidRPr="00234BC9">
        <w:rPr>
          <w:rFonts w:ascii="Poppins" w:hAnsi="Poppins" w:cs="Poppins"/>
          <w:color w:val="3F0731"/>
          <w:szCs w:val="28"/>
          <w:highlight w:val="yellow"/>
        </w:rPr>
        <w:t>Workgroup Consultation Summary</w:t>
      </w:r>
      <w:bookmarkEnd w:id="24"/>
      <w:bookmarkEnd w:id="25"/>
    </w:p>
    <w:p w14:paraId="2C3FFD7D" w14:textId="17E64C8A" w:rsidR="001711B9" w:rsidRPr="00AC01D1" w:rsidRDefault="0062346F" w:rsidP="00622F77">
      <w:pPr>
        <w:pStyle w:val="TOCMOD"/>
        <w:framePr w:hSpace="0" w:vSpace="0" w:wrap="auto" w:vAnchor="margin" w:yAlign="inline"/>
        <w:spacing w:after="240"/>
        <w:rPr>
          <w:rFonts w:ascii="Poppins" w:hAnsi="Poppins" w:cs="Poppins"/>
          <w:b w:val="0"/>
          <w:bCs w:val="0"/>
          <w:color w:val="auto"/>
        </w:rPr>
      </w:pPr>
      <w:bookmarkStart w:id="26" w:name="_Hlk50542435"/>
      <w:r w:rsidRPr="008975A1">
        <w:rPr>
          <w:rFonts w:ascii="Poppins" w:hAnsi="Poppins" w:cs="Poppins"/>
          <w:b w:val="0"/>
          <w:bCs w:val="0"/>
          <w:color w:val="auto"/>
        </w:rPr>
        <w:t>The Workgroup held their Workgroup Consultation between</w:t>
      </w:r>
      <w:r w:rsidR="000B155C">
        <w:rPr>
          <w:rFonts w:ascii="Poppins" w:hAnsi="Poppins" w:cs="Poppins"/>
          <w:b w:val="0"/>
          <w:bCs w:val="0"/>
          <w:color w:val="auto"/>
        </w:rPr>
        <w:t xml:space="preserve"> 28 January 2026 and </w:t>
      </w:r>
      <w:r w:rsidR="008B4407">
        <w:rPr>
          <w:rFonts w:ascii="Poppins" w:hAnsi="Poppins" w:cs="Poppins"/>
          <w:b w:val="0"/>
          <w:bCs w:val="0"/>
          <w:color w:val="auto"/>
        </w:rPr>
        <w:t xml:space="preserve">18 </w:t>
      </w:r>
      <w:r w:rsidR="008B4407" w:rsidRPr="002D3679">
        <w:rPr>
          <w:rFonts w:ascii="Poppins" w:hAnsi="Poppins" w:cs="Poppins"/>
          <w:b w:val="0"/>
          <w:bCs w:val="0"/>
          <w:color w:val="000000" w:themeColor="text1"/>
        </w:rPr>
        <w:t>February 2026</w:t>
      </w:r>
      <w:r w:rsidR="00AB6FBB" w:rsidRPr="002D3679">
        <w:rPr>
          <w:rFonts w:ascii="Poppins" w:hAnsi="Poppins" w:cs="Poppins"/>
          <w:b w:val="0"/>
          <w:bCs w:val="0"/>
          <w:color w:val="000000" w:themeColor="text1"/>
        </w:rPr>
        <w:t>,</w:t>
      </w:r>
      <w:r w:rsidRPr="002D3679">
        <w:rPr>
          <w:rFonts w:ascii="Poppins" w:hAnsi="Poppins" w:cs="Poppins"/>
          <w:b w:val="0"/>
          <w:bCs w:val="0"/>
          <w:color w:val="000000" w:themeColor="text1"/>
        </w:rPr>
        <w:t xml:space="preserve"> receiv</w:t>
      </w:r>
      <w:r w:rsidR="00AB6FBB" w:rsidRPr="002D3679">
        <w:rPr>
          <w:rFonts w:ascii="Poppins" w:hAnsi="Poppins" w:cs="Poppins"/>
          <w:b w:val="0"/>
          <w:bCs w:val="0"/>
          <w:color w:val="000000" w:themeColor="text1"/>
        </w:rPr>
        <w:t>ing</w:t>
      </w:r>
      <w:r w:rsidRPr="002D3679">
        <w:rPr>
          <w:rFonts w:ascii="Poppins" w:hAnsi="Poppins" w:cs="Poppins"/>
          <w:b w:val="0"/>
          <w:bCs w:val="0"/>
          <w:color w:val="000000" w:themeColor="text1"/>
        </w:rPr>
        <w:t xml:space="preserve"> </w:t>
      </w:r>
      <w:r w:rsidR="008B4407" w:rsidRPr="002D3679">
        <w:rPr>
          <w:rFonts w:ascii="Poppins" w:hAnsi="Poppins" w:cs="Poppins"/>
          <w:b w:val="0"/>
          <w:bCs w:val="0"/>
          <w:color w:val="000000" w:themeColor="text1"/>
        </w:rPr>
        <w:t>21</w:t>
      </w:r>
      <w:r w:rsidRPr="002D3679">
        <w:rPr>
          <w:rFonts w:ascii="Poppins" w:hAnsi="Poppins" w:cs="Poppins"/>
          <w:b w:val="0"/>
          <w:bCs w:val="0"/>
          <w:color w:val="000000" w:themeColor="text1"/>
        </w:rPr>
        <w:t xml:space="preserve"> </w:t>
      </w:r>
      <w:r w:rsidR="00AB6FBB" w:rsidRPr="002D3679">
        <w:rPr>
          <w:rFonts w:ascii="Poppins" w:hAnsi="Poppins" w:cs="Poppins"/>
          <w:b w:val="0"/>
          <w:bCs w:val="0"/>
          <w:color w:val="000000" w:themeColor="text1"/>
        </w:rPr>
        <w:t xml:space="preserve">non-confidential </w:t>
      </w:r>
      <w:r w:rsidRPr="002D3679">
        <w:rPr>
          <w:rFonts w:ascii="Poppins" w:hAnsi="Poppins" w:cs="Poppins"/>
          <w:b w:val="0"/>
          <w:bCs w:val="0"/>
          <w:color w:val="000000" w:themeColor="text1"/>
        </w:rPr>
        <w:t>responses</w:t>
      </w:r>
      <w:r w:rsidR="00AB6FBB" w:rsidRPr="002D3679">
        <w:rPr>
          <w:rFonts w:ascii="Poppins" w:hAnsi="Poppins" w:cs="Poppins"/>
          <w:b w:val="0"/>
          <w:bCs w:val="0"/>
          <w:color w:val="000000" w:themeColor="text1"/>
        </w:rPr>
        <w:t xml:space="preserve"> and 5 confidential responses</w:t>
      </w:r>
      <w:r w:rsidRPr="002D3679">
        <w:rPr>
          <w:rFonts w:ascii="Poppins" w:hAnsi="Poppins" w:cs="Poppins"/>
          <w:b w:val="0"/>
          <w:bCs w:val="0"/>
          <w:color w:val="000000" w:themeColor="text1"/>
        </w:rPr>
        <w:t xml:space="preserve">. </w:t>
      </w:r>
      <w:r w:rsidR="002D3679" w:rsidRPr="000D5085">
        <w:rPr>
          <w:rFonts w:ascii="Poppins" w:hAnsi="Poppins" w:cs="Poppins"/>
          <w:b w:val="0"/>
          <w:bCs w:val="0"/>
          <w:color w:val="000000" w:themeColor="text1"/>
          <w14:ligatures w14:val="none"/>
        </w:rPr>
        <w:t>No Alternative Requests were raised during the Workgroup Consultation.</w:t>
      </w:r>
      <w:r w:rsidR="002D3679" w:rsidRPr="002D3679">
        <w:rPr>
          <w:rFonts w:ascii="Poppins" w:hAnsi="Poppins" w:cs="Poppins"/>
          <w:b w:val="0"/>
          <w:bCs w:val="0"/>
          <w:color w:val="000000" w:themeColor="text1"/>
          <w14:ligatures w14:val="none"/>
        </w:rPr>
        <w:t xml:space="preserve"> </w:t>
      </w:r>
      <w:r w:rsidRPr="002D3679">
        <w:rPr>
          <w:rFonts w:ascii="Poppins" w:hAnsi="Poppins" w:cs="Poppins"/>
          <w:b w:val="0"/>
          <w:bCs w:val="0"/>
          <w:color w:val="000000" w:themeColor="text1"/>
        </w:rPr>
        <w:t xml:space="preserve">The full </w:t>
      </w:r>
      <w:r w:rsidRPr="008975A1">
        <w:rPr>
          <w:rFonts w:ascii="Poppins" w:hAnsi="Poppins" w:cs="Poppins"/>
          <w:b w:val="0"/>
          <w:bCs w:val="0"/>
          <w:color w:val="auto"/>
        </w:rPr>
        <w:t xml:space="preserve">responses and a summary of the responses </w:t>
      </w:r>
      <w:r w:rsidRPr="00AC01D1">
        <w:rPr>
          <w:rFonts w:ascii="Poppins" w:hAnsi="Poppins" w:cs="Poppins"/>
          <w:b w:val="0"/>
          <w:bCs w:val="0"/>
          <w:color w:val="auto"/>
        </w:rPr>
        <w:t xml:space="preserve">can be found </w:t>
      </w:r>
      <w:r w:rsidR="34BADB5B" w:rsidRPr="00AC01D1">
        <w:rPr>
          <w:rFonts w:ascii="Poppins" w:hAnsi="Poppins" w:cs="Poppins"/>
          <w:b w:val="0"/>
          <w:bCs w:val="0"/>
          <w:color w:val="auto"/>
        </w:rPr>
        <w:t>in</w:t>
      </w:r>
      <w:r w:rsidRPr="00AC01D1">
        <w:rPr>
          <w:rFonts w:ascii="Poppins" w:hAnsi="Poppins" w:cs="Poppins"/>
          <w:b w:val="0"/>
          <w:bCs w:val="0"/>
          <w:color w:val="auto"/>
        </w:rPr>
        <w:t xml:space="preserve"> </w:t>
      </w:r>
      <w:r w:rsidRPr="0047595A">
        <w:rPr>
          <w:rFonts w:ascii="Poppins" w:hAnsi="Poppins" w:cs="Poppins"/>
          <w:color w:val="auto"/>
          <w:highlight w:val="yellow"/>
        </w:rPr>
        <w:t>Annexes XX</w:t>
      </w:r>
      <w:r w:rsidRPr="00AC01D1">
        <w:rPr>
          <w:rFonts w:ascii="Poppins" w:hAnsi="Poppins" w:cs="Poppins"/>
          <w:b w:val="0"/>
          <w:bCs w:val="0"/>
          <w:color w:val="auto"/>
          <w:highlight w:val="yellow"/>
        </w:rPr>
        <w:t xml:space="preserve"> and </w:t>
      </w:r>
      <w:r w:rsidRPr="0047595A">
        <w:rPr>
          <w:rFonts w:ascii="Poppins" w:hAnsi="Poppins" w:cs="Poppins"/>
          <w:color w:val="auto"/>
          <w:highlight w:val="yellow"/>
        </w:rPr>
        <w:t>XX</w:t>
      </w:r>
      <w:r w:rsidRPr="00AC01D1">
        <w:rPr>
          <w:rFonts w:ascii="Poppins" w:hAnsi="Poppins" w:cs="Poppins"/>
          <w:b w:val="0"/>
          <w:bCs w:val="0"/>
          <w:color w:val="auto"/>
        </w:rPr>
        <w:t>.</w:t>
      </w:r>
    </w:p>
    <w:p w14:paraId="343D07C1" w14:textId="2129C31B" w:rsidR="000D5085" w:rsidRPr="000D5085" w:rsidRDefault="000D5085" w:rsidP="000D5085">
      <w:p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Responses were received from a range of industry sectors, including Distribution Network Operators, Generators, Transmission Owners, Suppliers, the System Operator and other stakeholders. Some respondents represented more than one industry sector</w:t>
      </w:r>
      <w:r w:rsidR="009B4395">
        <w:rPr>
          <w:rFonts w:ascii="Poppins" w:eastAsia="Times New Roman" w:hAnsi="Poppins" w:cs="Poppins"/>
          <w:kern w:val="0"/>
          <w:lang w:eastAsia="en-GB"/>
          <w14:ligatures w14:val="none"/>
        </w:rPr>
        <w:t>.</w:t>
      </w:r>
    </w:p>
    <w:p w14:paraId="71C57D01" w14:textId="3FF35E5F" w:rsidR="000D5085" w:rsidRPr="000D5085" w:rsidRDefault="000D5085" w:rsidP="00CE30AA">
      <w:pPr>
        <w:spacing w:before="100" w:beforeAutospacing="1" w:after="100" w:afterAutospacing="1" w:line="300" w:lineRule="atLeast"/>
        <w:outlineLvl w:val="2"/>
        <w:rPr>
          <w:rFonts w:ascii="Poppins" w:eastAsia="Times New Roman" w:hAnsi="Poppins" w:cs="Poppins"/>
          <w:b/>
          <w:bCs/>
          <w:kern w:val="0"/>
          <w:lang w:eastAsia="en-GB"/>
          <w14:ligatures w14:val="none"/>
        </w:rPr>
      </w:pPr>
      <w:r w:rsidRPr="000D5085">
        <w:rPr>
          <w:rFonts w:ascii="Poppins" w:eastAsia="Times New Roman" w:hAnsi="Poppins" w:cs="Poppins"/>
          <w:b/>
          <w:bCs/>
          <w:kern w:val="0"/>
          <w:lang w:eastAsia="en-GB"/>
          <w14:ligatures w14:val="none"/>
        </w:rPr>
        <w:t>Assessment Against the Applicable Objectives</w:t>
      </w:r>
      <w:r w:rsidR="00CE30AA">
        <w:rPr>
          <w:rFonts w:ascii="Poppins" w:eastAsia="Times New Roman" w:hAnsi="Poppins" w:cs="Poppins"/>
          <w:b/>
          <w:bCs/>
          <w:kern w:val="0"/>
          <w:lang w:eastAsia="en-GB"/>
          <w14:ligatures w14:val="none"/>
        </w:rPr>
        <w:br/>
      </w:r>
      <w:r w:rsidRPr="000D5085">
        <w:rPr>
          <w:rFonts w:ascii="Poppins" w:eastAsia="Times New Roman" w:hAnsi="Poppins" w:cs="Poppins"/>
          <w:kern w:val="0"/>
          <w:lang w:eastAsia="en-GB"/>
          <w14:ligatures w14:val="none"/>
        </w:rPr>
        <w:t>The majority of respondents considered that the Original Proposal better facilitates the Applicable Objectives, with 17 respondents indicating ‘Yes’ and 4 respondents indicating ‘No’. Support was expressed across several objectives, including those relating to system efficiency, security of supply</w:t>
      </w:r>
      <w:r w:rsidR="00831F23" w:rsidRPr="00AC01D1">
        <w:rPr>
          <w:rFonts w:ascii="Poppins" w:eastAsia="Times New Roman" w:hAnsi="Poppins" w:cs="Poppins"/>
          <w:kern w:val="0"/>
          <w:lang w:eastAsia="en-GB"/>
          <w14:ligatures w14:val="none"/>
        </w:rPr>
        <w:t>,</w:t>
      </w:r>
      <w:r w:rsidRPr="000D5085">
        <w:rPr>
          <w:rFonts w:ascii="Poppins" w:eastAsia="Times New Roman" w:hAnsi="Poppins" w:cs="Poppins"/>
          <w:kern w:val="0"/>
          <w:lang w:eastAsia="en-GB"/>
          <w14:ligatures w14:val="none"/>
        </w:rPr>
        <w:t xml:space="preserve"> and competition.</w:t>
      </w:r>
    </w:p>
    <w:p w14:paraId="46153E3F" w14:textId="2ABD54FE" w:rsidR="000D5085" w:rsidRPr="00CE30AA" w:rsidRDefault="000D5085" w:rsidP="00CE30AA">
      <w:pPr>
        <w:spacing w:before="100" w:beforeAutospacing="1" w:after="100" w:afterAutospacing="1" w:line="300" w:lineRule="atLeast"/>
        <w:outlineLvl w:val="2"/>
        <w:rPr>
          <w:rFonts w:ascii="Poppins" w:eastAsia="Times New Roman" w:hAnsi="Poppins" w:cs="Poppins"/>
          <w:b/>
          <w:bCs/>
          <w:kern w:val="0"/>
          <w:lang w:eastAsia="en-GB"/>
          <w14:ligatures w14:val="none"/>
        </w:rPr>
      </w:pPr>
      <w:r w:rsidRPr="000D5085">
        <w:rPr>
          <w:rFonts w:ascii="Poppins" w:eastAsia="Times New Roman" w:hAnsi="Poppins" w:cs="Poppins"/>
          <w:b/>
          <w:bCs/>
          <w:kern w:val="0"/>
          <w:lang w:eastAsia="en-GB"/>
          <w14:ligatures w14:val="none"/>
        </w:rPr>
        <w:t>Support for the Implementation Approach</w:t>
      </w:r>
      <w:r w:rsidR="00CE30AA">
        <w:rPr>
          <w:rFonts w:ascii="Poppins" w:eastAsia="Times New Roman" w:hAnsi="Poppins" w:cs="Poppins"/>
          <w:b/>
          <w:bCs/>
          <w:kern w:val="0"/>
          <w:lang w:eastAsia="en-GB"/>
          <w14:ligatures w14:val="none"/>
        </w:rPr>
        <w:br/>
      </w:r>
      <w:r w:rsidRPr="000D5085">
        <w:rPr>
          <w:rFonts w:ascii="Poppins" w:eastAsia="Times New Roman" w:hAnsi="Poppins" w:cs="Poppins"/>
          <w:kern w:val="0"/>
          <w:lang w:eastAsia="en-GB"/>
          <w14:ligatures w14:val="none"/>
        </w:rPr>
        <w:t>18 respondents supported the proposed implementation approach, while 3 respondents did not support it.</w:t>
      </w:r>
    </w:p>
    <w:p w14:paraId="3801CD21" w14:textId="7D9A0135" w:rsidR="000D5085" w:rsidRPr="000D5085" w:rsidRDefault="00815B96" w:rsidP="000D5085">
      <w:pPr>
        <w:spacing w:before="100" w:beforeAutospacing="1" w:after="100" w:afterAutospacing="1" w:line="300" w:lineRule="atLeast"/>
        <w:rPr>
          <w:rFonts w:ascii="Poppins" w:eastAsia="Times New Roman" w:hAnsi="Poppins" w:cs="Poppins"/>
          <w:b/>
          <w:bCs/>
          <w:kern w:val="0"/>
          <w:lang w:eastAsia="en-GB"/>
          <w14:ligatures w14:val="none"/>
        </w:rPr>
      </w:pPr>
      <w:r w:rsidRPr="00815B96">
        <w:rPr>
          <w:rFonts w:ascii="Poppins" w:eastAsia="Times New Roman" w:hAnsi="Poppins" w:cs="Poppins"/>
          <w:b/>
          <w:bCs/>
          <w:kern w:val="0"/>
          <w:lang w:eastAsia="en-GB"/>
          <w14:ligatures w14:val="none"/>
        </w:rPr>
        <w:t xml:space="preserve">Impact on </w:t>
      </w:r>
      <w:r w:rsidRPr="000D5085">
        <w:rPr>
          <w:rFonts w:ascii="Poppins" w:eastAsia="Times New Roman" w:hAnsi="Poppins" w:cs="Poppins"/>
          <w:b/>
          <w:bCs/>
          <w:kern w:val="0"/>
          <w:lang w:eastAsia="en-GB"/>
          <w14:ligatures w14:val="none"/>
        </w:rPr>
        <w:t>Electricity Balancing Regulation (EBR) Article 18</w:t>
      </w:r>
      <w:r w:rsidR="00CE30AA">
        <w:rPr>
          <w:rFonts w:ascii="Poppins" w:eastAsia="Times New Roman" w:hAnsi="Poppins" w:cs="Poppins"/>
          <w:b/>
          <w:bCs/>
          <w:kern w:val="0"/>
          <w:lang w:eastAsia="en-GB"/>
          <w14:ligatures w14:val="none"/>
        </w:rPr>
        <w:br/>
      </w:r>
      <w:r w:rsidR="000D5085" w:rsidRPr="000D5085">
        <w:rPr>
          <w:rFonts w:ascii="Poppins" w:eastAsia="Times New Roman" w:hAnsi="Poppins" w:cs="Poppins"/>
          <w:kern w:val="0"/>
          <w:lang w:eastAsia="en-GB"/>
          <w14:ligatures w14:val="none"/>
        </w:rPr>
        <w:t>All respondents agreed with the Workgroup’s assessment that the modification does not impact the Electricity Balancing Regulation (EBR) Article 18 terms and conditions contained within the Code.</w:t>
      </w:r>
    </w:p>
    <w:p w14:paraId="55ECE629" w14:textId="4A80A8FA" w:rsidR="000D5085" w:rsidRPr="000D5085" w:rsidRDefault="000D5085" w:rsidP="00CE30AA">
      <w:pPr>
        <w:spacing w:before="100" w:beforeAutospacing="1" w:after="100" w:afterAutospacing="1" w:line="300" w:lineRule="atLeast"/>
        <w:outlineLvl w:val="2"/>
        <w:rPr>
          <w:rFonts w:ascii="Poppins" w:eastAsia="Times New Roman" w:hAnsi="Poppins" w:cs="Poppins"/>
          <w:b/>
          <w:bCs/>
          <w:kern w:val="0"/>
          <w:lang w:eastAsia="en-GB"/>
          <w14:ligatures w14:val="none"/>
        </w:rPr>
      </w:pPr>
      <w:r w:rsidRPr="000D5085">
        <w:rPr>
          <w:rFonts w:ascii="Poppins" w:eastAsia="Times New Roman" w:hAnsi="Poppins" w:cs="Poppins"/>
          <w:b/>
          <w:bCs/>
          <w:kern w:val="0"/>
          <w:lang w:eastAsia="en-GB"/>
          <w14:ligatures w14:val="none"/>
        </w:rPr>
        <w:t>Key Issues Raised in Support of the Modification</w:t>
      </w:r>
      <w:r w:rsidR="00CE30AA">
        <w:rPr>
          <w:rFonts w:ascii="Poppins" w:eastAsia="Times New Roman" w:hAnsi="Poppins" w:cs="Poppins"/>
          <w:b/>
          <w:bCs/>
          <w:kern w:val="0"/>
          <w:lang w:eastAsia="en-GB"/>
          <w14:ligatures w14:val="none"/>
        </w:rPr>
        <w:br/>
      </w:r>
      <w:r w:rsidRPr="000D5085">
        <w:rPr>
          <w:rFonts w:ascii="Poppins" w:eastAsia="Times New Roman" w:hAnsi="Poppins" w:cs="Poppins"/>
          <w:kern w:val="0"/>
          <w:lang w:eastAsia="en-GB"/>
          <w14:ligatures w14:val="none"/>
        </w:rPr>
        <w:t>Respondents supporting the modification highlighted that the proposal:</w:t>
      </w:r>
    </w:p>
    <w:p w14:paraId="7C46957F"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Facilitates competition.</w:t>
      </w:r>
    </w:p>
    <w:p w14:paraId="3AE22AD7"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Supports acceleration of renewable and storage project investment.</w:t>
      </w:r>
    </w:p>
    <w:p w14:paraId="11923DC5"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Provides additional clarity for Gate 2 decision</w:t>
      </w:r>
      <w:r w:rsidRPr="000D5085">
        <w:rPr>
          <w:rFonts w:ascii="Poppins" w:eastAsia="Times New Roman" w:hAnsi="Poppins" w:cs="Poppins"/>
          <w:kern w:val="0"/>
          <w:lang w:eastAsia="en-GB"/>
          <w14:ligatures w14:val="none"/>
        </w:rPr>
        <w:noBreakHyphen/>
        <w:t>making.</w:t>
      </w:r>
    </w:p>
    <w:p w14:paraId="325862DE"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lastRenderedPageBreak/>
        <w:t>Introduces clearer definitions and more consistent treatment of multi</w:t>
      </w:r>
      <w:r w:rsidRPr="000D5085">
        <w:rPr>
          <w:rFonts w:ascii="Poppins" w:eastAsia="Times New Roman" w:hAnsi="Poppins" w:cs="Poppins"/>
          <w:kern w:val="0"/>
          <w:lang w:eastAsia="en-GB"/>
          <w14:ligatures w14:val="none"/>
        </w:rPr>
        <w:noBreakHyphen/>
        <w:t>user and DNO</w:t>
      </w:r>
      <w:r w:rsidRPr="000D5085">
        <w:rPr>
          <w:rFonts w:ascii="Poppins" w:eastAsia="Times New Roman" w:hAnsi="Poppins" w:cs="Poppins"/>
          <w:kern w:val="0"/>
          <w:lang w:eastAsia="en-GB"/>
          <w14:ligatures w14:val="none"/>
        </w:rPr>
        <w:noBreakHyphen/>
        <w:t>triggered assets.</w:t>
      </w:r>
    </w:p>
    <w:p w14:paraId="03D5B040"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Treats the movement of costs to Transmission Demand Residual (TDR) as reasonable.</w:t>
      </w:r>
    </w:p>
    <w:p w14:paraId="37D7334F"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Supports wider system objectives, including CP30.</w:t>
      </w:r>
    </w:p>
    <w:p w14:paraId="55D8300B"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Acts as a short</w:t>
      </w:r>
      <w:r w:rsidRPr="000D5085">
        <w:rPr>
          <w:rFonts w:ascii="Poppins" w:eastAsia="Times New Roman" w:hAnsi="Poppins" w:cs="Poppins"/>
          <w:kern w:val="0"/>
          <w:lang w:eastAsia="en-GB"/>
          <w14:ligatures w14:val="none"/>
        </w:rPr>
        <w:noBreakHyphen/>
        <w:t>term solution while wider reforms are progressed.</w:t>
      </w:r>
    </w:p>
    <w:p w14:paraId="61B807BC"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Reduces risks for smaller and embedded projects.</w:t>
      </w:r>
    </w:p>
    <w:p w14:paraId="6C0DAD28" w14:textId="77777777" w:rsidR="000D5085" w:rsidRPr="000D5085" w:rsidRDefault="000D5085" w:rsidP="000D5085">
      <w:pPr>
        <w:numPr>
          <w:ilvl w:val="0"/>
          <w:numId w:val="40"/>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Helps mitigate potential consumer impacts linked to delays in decarbonisation.</w:t>
      </w:r>
    </w:p>
    <w:p w14:paraId="439E0B76" w14:textId="1181EDDA" w:rsidR="000D5085" w:rsidRPr="000D5085" w:rsidRDefault="000D5085" w:rsidP="00CE30AA">
      <w:pPr>
        <w:spacing w:before="100" w:beforeAutospacing="1" w:after="100" w:afterAutospacing="1" w:line="300" w:lineRule="atLeast"/>
        <w:outlineLvl w:val="2"/>
        <w:rPr>
          <w:rFonts w:ascii="Poppins" w:eastAsia="Times New Roman" w:hAnsi="Poppins" w:cs="Poppins"/>
          <w:b/>
          <w:bCs/>
          <w:kern w:val="0"/>
          <w:lang w:eastAsia="en-GB"/>
          <w14:ligatures w14:val="none"/>
        </w:rPr>
      </w:pPr>
      <w:r w:rsidRPr="000D5085">
        <w:rPr>
          <w:rFonts w:ascii="Poppins" w:eastAsia="Times New Roman" w:hAnsi="Poppins" w:cs="Poppins"/>
          <w:b/>
          <w:bCs/>
          <w:kern w:val="0"/>
          <w:lang w:eastAsia="en-GB"/>
          <w14:ligatures w14:val="none"/>
        </w:rPr>
        <w:t xml:space="preserve">Key Issues Raised </w:t>
      </w:r>
      <w:r w:rsidR="003512C5">
        <w:rPr>
          <w:rFonts w:ascii="Poppins" w:eastAsia="Times New Roman" w:hAnsi="Poppins" w:cs="Poppins"/>
          <w:b/>
          <w:bCs/>
          <w:kern w:val="0"/>
          <w:lang w:eastAsia="en-GB"/>
          <w14:ligatures w14:val="none"/>
        </w:rPr>
        <w:t>Against</w:t>
      </w:r>
      <w:r w:rsidRPr="000D5085">
        <w:rPr>
          <w:rFonts w:ascii="Poppins" w:eastAsia="Times New Roman" w:hAnsi="Poppins" w:cs="Poppins"/>
          <w:b/>
          <w:bCs/>
          <w:kern w:val="0"/>
          <w:lang w:eastAsia="en-GB"/>
          <w14:ligatures w14:val="none"/>
        </w:rPr>
        <w:t xml:space="preserve"> the Modification</w:t>
      </w:r>
      <w:r w:rsidR="00CE30AA">
        <w:rPr>
          <w:rFonts w:ascii="Poppins" w:eastAsia="Times New Roman" w:hAnsi="Poppins" w:cs="Poppins"/>
          <w:b/>
          <w:bCs/>
          <w:kern w:val="0"/>
          <w:lang w:eastAsia="en-GB"/>
          <w14:ligatures w14:val="none"/>
        </w:rPr>
        <w:br/>
      </w:r>
      <w:r w:rsidRPr="000D5085">
        <w:rPr>
          <w:rFonts w:ascii="Poppins" w:eastAsia="Times New Roman" w:hAnsi="Poppins" w:cs="Poppins"/>
          <w:kern w:val="0"/>
          <w:lang w:eastAsia="en-GB"/>
          <w14:ligatures w14:val="none"/>
        </w:rPr>
        <w:t xml:space="preserve">Respondents </w:t>
      </w:r>
      <w:r w:rsidR="00D72044">
        <w:rPr>
          <w:rFonts w:ascii="Poppins" w:eastAsia="Times New Roman" w:hAnsi="Poppins" w:cs="Poppins"/>
          <w:kern w:val="0"/>
          <w:lang w:eastAsia="en-GB"/>
          <w14:ligatures w14:val="none"/>
        </w:rPr>
        <w:t xml:space="preserve">that did </w:t>
      </w:r>
      <w:r w:rsidRPr="000D5085">
        <w:rPr>
          <w:rFonts w:ascii="Poppins" w:eastAsia="Times New Roman" w:hAnsi="Poppins" w:cs="Poppins"/>
          <w:kern w:val="0"/>
          <w:lang w:eastAsia="en-GB"/>
          <w14:ligatures w14:val="none"/>
        </w:rPr>
        <w:t xml:space="preserve">not support the modification </w:t>
      </w:r>
      <w:r w:rsidR="00D72044">
        <w:rPr>
          <w:rFonts w:ascii="Poppins" w:eastAsia="Times New Roman" w:hAnsi="Poppins" w:cs="Poppins"/>
          <w:kern w:val="0"/>
          <w:lang w:eastAsia="en-GB"/>
          <w14:ligatures w14:val="none"/>
        </w:rPr>
        <w:t>highlighted the following concerns</w:t>
      </w:r>
      <w:r w:rsidRPr="000D5085">
        <w:rPr>
          <w:rFonts w:ascii="Poppins" w:eastAsia="Times New Roman" w:hAnsi="Poppins" w:cs="Poppins"/>
          <w:kern w:val="0"/>
          <w:lang w:eastAsia="en-GB"/>
          <w14:ligatures w14:val="none"/>
        </w:rPr>
        <w:t>:</w:t>
      </w:r>
    </w:p>
    <w:p w14:paraId="212A951F" w14:textId="77777777" w:rsidR="000D5085" w:rsidRPr="000D5085" w:rsidRDefault="000D5085" w:rsidP="000D5085">
      <w:pPr>
        <w:numPr>
          <w:ilvl w:val="0"/>
          <w:numId w:val="41"/>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Potential weakening of cost</w:t>
      </w:r>
      <w:r w:rsidRPr="000D5085">
        <w:rPr>
          <w:rFonts w:ascii="Poppins" w:eastAsia="Times New Roman" w:hAnsi="Poppins" w:cs="Poppins"/>
          <w:kern w:val="0"/>
          <w:lang w:eastAsia="en-GB"/>
          <w14:ligatures w14:val="none"/>
        </w:rPr>
        <w:noBreakHyphen/>
        <w:t>reflectivity.</w:t>
      </w:r>
    </w:p>
    <w:p w14:paraId="79A78546" w14:textId="77777777" w:rsidR="000D5085" w:rsidRPr="000D5085" w:rsidRDefault="000D5085" w:rsidP="000D5085">
      <w:pPr>
        <w:numPr>
          <w:ilvl w:val="0"/>
          <w:numId w:val="41"/>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Risk of increased consumer costs and impacts on TDR.</w:t>
      </w:r>
    </w:p>
    <w:p w14:paraId="2AB0C56B" w14:textId="77777777" w:rsidR="000D5085" w:rsidRPr="000D5085" w:rsidRDefault="000D5085" w:rsidP="000D5085">
      <w:pPr>
        <w:numPr>
          <w:ilvl w:val="0"/>
          <w:numId w:val="41"/>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Risk of regulatory misalignment with RNP, REMA and DCUSA</w:t>
      </w:r>
      <w:r w:rsidRPr="000D5085">
        <w:rPr>
          <w:rFonts w:ascii="Poppins" w:eastAsia="Times New Roman" w:hAnsi="Poppins" w:cs="Poppins"/>
          <w:kern w:val="0"/>
          <w:lang w:eastAsia="en-GB"/>
          <w14:ligatures w14:val="none"/>
        </w:rPr>
        <w:noBreakHyphen/>
        <w:t>related changes.</w:t>
      </w:r>
    </w:p>
    <w:p w14:paraId="5A925E6E" w14:textId="77777777" w:rsidR="000D5085" w:rsidRPr="000D5085" w:rsidRDefault="000D5085" w:rsidP="000D5085">
      <w:pPr>
        <w:numPr>
          <w:ilvl w:val="0"/>
          <w:numId w:val="41"/>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Legal, technical and operational complexity.</w:t>
      </w:r>
    </w:p>
    <w:p w14:paraId="3C3D8385" w14:textId="77777777" w:rsidR="000D5085" w:rsidRPr="000D5085" w:rsidRDefault="000D5085" w:rsidP="000D5085">
      <w:pPr>
        <w:numPr>
          <w:ilvl w:val="0"/>
          <w:numId w:val="41"/>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Concerns that the implementation timeline may be unrealistic.</w:t>
      </w:r>
    </w:p>
    <w:p w14:paraId="1EEB4BD4" w14:textId="77777777" w:rsidR="000D5085" w:rsidRPr="000D5085" w:rsidRDefault="000D5085" w:rsidP="000D5085">
      <w:pPr>
        <w:numPr>
          <w:ilvl w:val="0"/>
          <w:numId w:val="41"/>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Risk of inefficient transmission network investment.</w:t>
      </w:r>
    </w:p>
    <w:p w14:paraId="43C8B492" w14:textId="77777777" w:rsidR="000D5085" w:rsidRPr="000D5085" w:rsidRDefault="000D5085" w:rsidP="000D5085">
      <w:pPr>
        <w:numPr>
          <w:ilvl w:val="0"/>
          <w:numId w:val="41"/>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Reduced competitive pressure and increased reliance on Transmission Owners.</w:t>
      </w:r>
    </w:p>
    <w:p w14:paraId="05C4137E" w14:textId="77777777" w:rsidR="000D5085" w:rsidRPr="000D5085" w:rsidRDefault="000D5085" w:rsidP="000D5085">
      <w:pPr>
        <w:numPr>
          <w:ilvl w:val="0"/>
          <w:numId w:val="41"/>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Uncertainty regarding the treatment of existing agreements.</w:t>
      </w:r>
    </w:p>
    <w:p w14:paraId="3544FF2D" w14:textId="02F9261A" w:rsidR="000D5085" w:rsidRPr="000D5085" w:rsidRDefault="000D5085" w:rsidP="000D5085">
      <w:p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b/>
          <w:bCs/>
          <w:kern w:val="0"/>
          <w:lang w:eastAsia="en-GB"/>
          <w14:ligatures w14:val="none"/>
        </w:rPr>
        <w:t xml:space="preserve">Applicability of </w:t>
      </w:r>
      <w:r w:rsidR="00D72044">
        <w:rPr>
          <w:rFonts w:ascii="Poppins" w:eastAsia="Times New Roman" w:hAnsi="Poppins" w:cs="Poppins"/>
          <w:b/>
          <w:bCs/>
          <w:kern w:val="0"/>
          <w:lang w:eastAsia="en-GB"/>
          <w14:ligatures w14:val="none"/>
        </w:rPr>
        <w:t>N</w:t>
      </w:r>
      <w:r w:rsidRPr="000D5085">
        <w:rPr>
          <w:rFonts w:ascii="Poppins" w:eastAsia="Times New Roman" w:hAnsi="Poppins" w:cs="Poppins"/>
          <w:b/>
          <w:bCs/>
          <w:kern w:val="0"/>
          <w:lang w:eastAsia="en-GB"/>
          <w14:ligatures w14:val="none"/>
        </w:rPr>
        <w:t xml:space="preserve">ew </w:t>
      </w:r>
      <w:r w:rsidR="00D72044">
        <w:rPr>
          <w:rFonts w:ascii="Poppins" w:eastAsia="Times New Roman" w:hAnsi="Poppins" w:cs="Poppins"/>
          <w:b/>
          <w:bCs/>
          <w:kern w:val="0"/>
          <w:lang w:eastAsia="en-GB"/>
          <w14:ligatures w14:val="none"/>
        </w:rPr>
        <w:t>A</w:t>
      </w:r>
      <w:r w:rsidRPr="000D5085">
        <w:rPr>
          <w:rFonts w:ascii="Poppins" w:eastAsia="Times New Roman" w:hAnsi="Poppins" w:cs="Poppins"/>
          <w:b/>
          <w:bCs/>
          <w:kern w:val="0"/>
          <w:lang w:eastAsia="en-GB"/>
          <w14:ligatures w14:val="none"/>
        </w:rPr>
        <w:t xml:space="preserve">sset </w:t>
      </w:r>
      <w:r w:rsidR="00D72044">
        <w:rPr>
          <w:rFonts w:ascii="Poppins" w:eastAsia="Times New Roman" w:hAnsi="Poppins" w:cs="Poppins"/>
          <w:b/>
          <w:bCs/>
          <w:kern w:val="0"/>
          <w:lang w:eastAsia="en-GB"/>
          <w14:ligatures w14:val="none"/>
        </w:rPr>
        <w:t>D</w:t>
      </w:r>
      <w:r w:rsidRPr="000D5085">
        <w:rPr>
          <w:rFonts w:ascii="Poppins" w:eastAsia="Times New Roman" w:hAnsi="Poppins" w:cs="Poppins"/>
          <w:b/>
          <w:bCs/>
          <w:kern w:val="0"/>
          <w:lang w:eastAsia="en-GB"/>
          <w14:ligatures w14:val="none"/>
        </w:rPr>
        <w:t>efinitions</w:t>
      </w:r>
      <w:r w:rsidRPr="000D5085">
        <w:rPr>
          <w:rFonts w:ascii="Poppins" w:eastAsia="Times New Roman" w:hAnsi="Poppins" w:cs="Poppins"/>
          <w:kern w:val="0"/>
          <w:lang w:eastAsia="en-GB"/>
          <w14:ligatures w14:val="none"/>
        </w:rPr>
        <w:br/>
        <w:t>16 respondents agreed</w:t>
      </w:r>
      <w:r w:rsidR="009645A4" w:rsidRPr="009645A4">
        <w:rPr>
          <w:rFonts w:ascii="Poppins" w:eastAsia="Times New Roman" w:hAnsi="Poppins" w:cs="Poppins"/>
          <w:kern w:val="0"/>
          <w:lang w:eastAsia="en-GB"/>
          <w14:ligatures w14:val="none"/>
        </w:rPr>
        <w:t xml:space="preserve"> </w:t>
      </w:r>
      <w:r w:rsidR="009645A4" w:rsidRPr="000D5085">
        <w:rPr>
          <w:rFonts w:ascii="Poppins" w:eastAsia="Times New Roman" w:hAnsi="Poppins" w:cs="Poppins"/>
          <w:kern w:val="0"/>
          <w:lang w:eastAsia="en-GB"/>
          <w14:ligatures w14:val="none"/>
        </w:rPr>
        <w:t>with the proposer’s view on the application of the new definitions of Infrastructure Assets and Connection Assets</w:t>
      </w:r>
      <w:r w:rsidRPr="000D5085">
        <w:rPr>
          <w:rFonts w:ascii="Poppins" w:eastAsia="Times New Roman" w:hAnsi="Poppins" w:cs="Poppins"/>
          <w:kern w:val="0"/>
          <w:lang w:eastAsia="en-GB"/>
          <w14:ligatures w14:val="none"/>
        </w:rPr>
        <w:t>, citing support for applying the definitions to new connections and to some existing contracted but not yet connected projects, and noting the importance of appropriate legal drafting.</w:t>
      </w:r>
    </w:p>
    <w:p w14:paraId="5BD00D86" w14:textId="354CEE08" w:rsidR="000D5085" w:rsidRPr="000D5085" w:rsidRDefault="000D5085" w:rsidP="000D5085">
      <w:p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b/>
          <w:bCs/>
          <w:kern w:val="0"/>
          <w:lang w:eastAsia="en-GB"/>
          <w14:ligatures w14:val="none"/>
        </w:rPr>
        <w:t>Movement of costs to Transmission Demand Residual (TDR)</w:t>
      </w:r>
      <w:r w:rsidRPr="000D5085">
        <w:rPr>
          <w:rFonts w:ascii="Poppins" w:eastAsia="Times New Roman" w:hAnsi="Poppins" w:cs="Poppins"/>
          <w:kern w:val="0"/>
          <w:lang w:eastAsia="en-GB"/>
          <w14:ligatures w14:val="none"/>
        </w:rPr>
        <w:br/>
        <w:t>15 respondents agreed</w:t>
      </w:r>
      <w:r w:rsidR="00875E49" w:rsidRPr="00875E49">
        <w:rPr>
          <w:rFonts w:ascii="Poppins" w:eastAsia="Times New Roman" w:hAnsi="Poppins" w:cs="Poppins"/>
          <w:kern w:val="0"/>
          <w:lang w:eastAsia="en-GB"/>
          <w14:ligatures w14:val="none"/>
        </w:rPr>
        <w:t xml:space="preserve"> </w:t>
      </w:r>
      <w:r w:rsidR="00875E49" w:rsidRPr="000D5085">
        <w:rPr>
          <w:rFonts w:ascii="Poppins" w:eastAsia="Times New Roman" w:hAnsi="Poppins" w:cs="Poppins"/>
          <w:kern w:val="0"/>
          <w:lang w:eastAsia="en-GB"/>
          <w14:ligatures w14:val="none"/>
        </w:rPr>
        <w:t>moving costs to TDR was reasonable</w:t>
      </w:r>
      <w:r w:rsidRPr="000D5085">
        <w:rPr>
          <w:rFonts w:ascii="Poppins" w:eastAsia="Times New Roman" w:hAnsi="Poppins" w:cs="Poppins"/>
          <w:kern w:val="0"/>
          <w:lang w:eastAsia="en-GB"/>
          <w14:ligatures w14:val="none"/>
        </w:rPr>
        <w:t>, highlighting that this approach reflects situations where assets benefit multiple users, improves consistency between transmission</w:t>
      </w:r>
      <w:r w:rsidRPr="000D5085">
        <w:rPr>
          <w:rFonts w:ascii="Poppins" w:eastAsia="Times New Roman" w:hAnsi="Poppins" w:cs="Poppins"/>
          <w:kern w:val="0"/>
          <w:lang w:eastAsia="en-GB"/>
          <w14:ligatures w14:val="none"/>
        </w:rPr>
        <w:noBreakHyphen/>
        <w:t>connected and distribution</w:t>
      </w:r>
      <w:r w:rsidRPr="000D5085">
        <w:rPr>
          <w:rFonts w:ascii="Poppins" w:eastAsia="Times New Roman" w:hAnsi="Poppins" w:cs="Poppins"/>
          <w:kern w:val="0"/>
          <w:lang w:eastAsia="en-GB"/>
          <w14:ligatures w14:val="none"/>
        </w:rPr>
        <w:noBreakHyphen/>
        <w:t xml:space="preserve">connected users, </w:t>
      </w:r>
      <w:r w:rsidRPr="000D5085">
        <w:rPr>
          <w:rFonts w:ascii="Poppins" w:eastAsia="Times New Roman" w:hAnsi="Poppins" w:cs="Poppins"/>
          <w:kern w:val="0"/>
          <w:lang w:eastAsia="en-GB"/>
          <w14:ligatures w14:val="none"/>
        </w:rPr>
        <w:lastRenderedPageBreak/>
        <w:t>and removes distortions where a single DNO or embedded generator bears high upfront transmission costs.</w:t>
      </w:r>
    </w:p>
    <w:p w14:paraId="76ABF9B1" w14:textId="77777777" w:rsidR="00EA693E" w:rsidRDefault="00EA693E">
      <w:pPr>
        <w:spacing w:line="300" w:lineRule="atLeast"/>
        <w:rPr>
          <w:kern w:val="0"/>
          <w14:ligatures w14:val="none"/>
        </w:rPr>
      </w:pPr>
      <w:r>
        <w:rPr>
          <w:rFonts w:ascii="Poppins" w:hAnsi="Poppins" w:cs="Poppins"/>
          <w:b/>
          <w:bCs/>
        </w:rPr>
        <w:t>General Concerns Identified</w:t>
      </w:r>
      <w:r>
        <w:rPr>
          <w:rFonts w:ascii="Poppins" w:hAnsi="Poppins" w:cs="Poppins"/>
          <w:b/>
          <w:bCs/>
        </w:rPr>
        <w:br/>
      </w:r>
      <w:r>
        <w:rPr>
          <w:rFonts w:ascii="Poppins" w:hAnsi="Poppins" w:cs="Poppins"/>
        </w:rPr>
        <w:t xml:space="preserve">Respondents highlighted several </w:t>
      </w:r>
      <w:r w:rsidRPr="00F702D5">
        <w:rPr>
          <w:rFonts w:ascii="Poppins" w:hAnsi="Poppins" w:cs="Poppins"/>
        </w:rPr>
        <w:t>general concerns, including</w:t>
      </w:r>
      <w:r>
        <w:rPr>
          <w:rFonts w:ascii="Poppins" w:hAnsi="Poppins" w:cs="Poppins"/>
        </w:rPr>
        <w:t>:</w:t>
      </w:r>
    </w:p>
    <w:p w14:paraId="0C8096A9" w14:textId="77777777" w:rsidR="000D5085" w:rsidRPr="000D5085" w:rsidRDefault="000D5085" w:rsidP="000D5085">
      <w:pPr>
        <w:numPr>
          <w:ilvl w:val="0"/>
          <w:numId w:val="42"/>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Any delay in Ofgem’s decision may require a revised timetable, with potential implementation slippage of up to one year.</w:t>
      </w:r>
    </w:p>
    <w:p w14:paraId="3C209847" w14:textId="77777777" w:rsidR="000D5085" w:rsidRPr="000D5085" w:rsidRDefault="000D5085" w:rsidP="000D5085">
      <w:pPr>
        <w:numPr>
          <w:ilvl w:val="0"/>
          <w:numId w:val="42"/>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Ongoing risk of regulatory misalignment with RNP, REMA and DCUSA modifications.</w:t>
      </w:r>
    </w:p>
    <w:p w14:paraId="497EAF30" w14:textId="77777777" w:rsidR="000D5085" w:rsidRPr="000D5085" w:rsidRDefault="000D5085" w:rsidP="000D5085">
      <w:pPr>
        <w:numPr>
          <w:ilvl w:val="0"/>
          <w:numId w:val="42"/>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Concerns that socialising costs through TDR could weaken cost</w:t>
      </w:r>
      <w:r w:rsidRPr="000D5085">
        <w:rPr>
          <w:rFonts w:ascii="Poppins" w:eastAsia="Times New Roman" w:hAnsi="Poppins" w:cs="Poppins"/>
          <w:kern w:val="0"/>
          <w:lang w:eastAsia="en-GB"/>
          <w14:ligatures w14:val="none"/>
        </w:rPr>
        <w:noBreakHyphen/>
        <w:t>reflectivity, lead to cross</w:t>
      </w:r>
      <w:r w:rsidRPr="000D5085">
        <w:rPr>
          <w:rFonts w:ascii="Poppins" w:eastAsia="Times New Roman" w:hAnsi="Poppins" w:cs="Poppins"/>
          <w:kern w:val="0"/>
          <w:lang w:eastAsia="en-GB"/>
          <w14:ligatures w14:val="none"/>
        </w:rPr>
        <w:noBreakHyphen/>
        <w:t>subsidisation and increase household bills.</w:t>
      </w:r>
    </w:p>
    <w:p w14:paraId="1C13A4A6" w14:textId="77777777" w:rsidR="000D5085" w:rsidRPr="000D5085" w:rsidRDefault="000D5085" w:rsidP="000D5085">
      <w:pPr>
        <w:numPr>
          <w:ilvl w:val="0"/>
          <w:numId w:val="42"/>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The need for greater clarity on project eligibility, including staged and partially connected projects.</w:t>
      </w:r>
    </w:p>
    <w:p w14:paraId="38A03079" w14:textId="77777777" w:rsidR="000D5085" w:rsidRPr="000D5085" w:rsidRDefault="000D5085" w:rsidP="000D5085">
      <w:pPr>
        <w:numPr>
          <w:ilvl w:val="0"/>
          <w:numId w:val="42"/>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Potential for embedded generators to avoid charges they trigger.</w:t>
      </w:r>
    </w:p>
    <w:p w14:paraId="74706653" w14:textId="77777777" w:rsidR="000D5085" w:rsidRPr="000D5085" w:rsidRDefault="000D5085" w:rsidP="000D5085">
      <w:pPr>
        <w:numPr>
          <w:ilvl w:val="0"/>
          <w:numId w:val="42"/>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Risk that socialising costs without early needs</w:t>
      </w:r>
      <w:r w:rsidRPr="000D5085">
        <w:rPr>
          <w:rFonts w:ascii="Poppins" w:eastAsia="Times New Roman" w:hAnsi="Poppins" w:cs="Poppins"/>
          <w:kern w:val="0"/>
          <w:lang w:eastAsia="en-GB"/>
          <w14:ligatures w14:val="none"/>
        </w:rPr>
        <w:noBreakHyphen/>
        <w:t>case assessment could lead to inefficient transmission investment.</w:t>
      </w:r>
    </w:p>
    <w:p w14:paraId="32F50314" w14:textId="612DBF22" w:rsidR="00345B11" w:rsidRPr="00006AE7" w:rsidRDefault="000D5085" w:rsidP="00006AE7">
      <w:pPr>
        <w:numPr>
          <w:ilvl w:val="0"/>
          <w:numId w:val="42"/>
        </w:numPr>
        <w:spacing w:before="100" w:beforeAutospacing="1" w:after="100" w:afterAutospacing="1" w:line="300" w:lineRule="atLeast"/>
        <w:rPr>
          <w:rFonts w:ascii="Poppins" w:eastAsia="Times New Roman" w:hAnsi="Poppins" w:cs="Poppins"/>
          <w:kern w:val="0"/>
          <w:lang w:eastAsia="en-GB"/>
          <w14:ligatures w14:val="none"/>
        </w:rPr>
      </w:pPr>
      <w:r w:rsidRPr="000D5085">
        <w:rPr>
          <w:rFonts w:ascii="Poppins" w:eastAsia="Times New Roman" w:hAnsi="Poppins" w:cs="Poppins"/>
          <w:kern w:val="0"/>
          <w:lang w:eastAsia="en-GB"/>
          <w14:ligatures w14:val="none"/>
        </w:rPr>
        <w:t>Recognition that significant amendments to the Legal Text would be required.</w:t>
      </w:r>
    </w:p>
    <w:p w14:paraId="17F28438" w14:textId="77777777" w:rsidR="003E2071" w:rsidRDefault="00EC4B7E" w:rsidP="003E2071">
      <w:pPr>
        <w:pStyle w:val="Heading2"/>
        <w:rPr>
          <w:rFonts w:ascii="Times New Roman" w:hAnsi="Times New Roman" w:cs="Times New Roman"/>
          <w:color w:val="3F0731"/>
          <w:szCs w:val="28"/>
        </w:rPr>
      </w:pPr>
      <w:bookmarkStart w:id="27" w:name="_Toc207608721"/>
      <w:bookmarkEnd w:id="26"/>
      <w:r>
        <w:rPr>
          <w:rFonts w:ascii="Poppins" w:hAnsi="Poppins" w:cs="Poppins"/>
          <w:color w:val="3F0731"/>
          <w:szCs w:val="28"/>
        </w:rPr>
        <w:t xml:space="preserve">Post </w:t>
      </w:r>
      <w:r w:rsidR="00506B86" w:rsidRPr="00506B86">
        <w:rPr>
          <w:rFonts w:ascii="Poppins" w:hAnsi="Poppins" w:cs="Poppins"/>
          <w:color w:val="3F0731"/>
          <w:szCs w:val="28"/>
        </w:rPr>
        <w:t>Workgroup Consultation</w:t>
      </w:r>
      <w:r>
        <w:rPr>
          <w:rFonts w:ascii="Poppins" w:hAnsi="Poppins" w:cs="Poppins"/>
          <w:color w:val="3F0731"/>
          <w:szCs w:val="28"/>
        </w:rPr>
        <w:t xml:space="preserve"> Discussion</w:t>
      </w:r>
      <w:r w:rsidR="00506B86" w:rsidRPr="00506B86">
        <w:rPr>
          <w:rFonts w:ascii="Times New Roman" w:hAnsi="Times New Roman" w:cs="Times New Roman"/>
          <w:color w:val="3F0731"/>
          <w:szCs w:val="28"/>
        </w:rPr>
        <w:t>​</w:t>
      </w:r>
      <w:bookmarkStart w:id="28" w:name="_Toc207608722"/>
      <w:bookmarkEnd w:id="27"/>
    </w:p>
    <w:p w14:paraId="4537DCBE" w14:textId="37CEE9F7" w:rsidR="00A60ABE" w:rsidRPr="00A60ABE" w:rsidRDefault="00A60ABE" w:rsidP="003E2071">
      <w:pPr>
        <w:pStyle w:val="Heading2"/>
        <w:rPr>
          <w:rFonts w:ascii="Times New Roman" w:hAnsi="Times New Roman" w:cs="Times New Roman"/>
          <w:color w:val="000000" w:themeColor="text1"/>
          <w:szCs w:val="28"/>
        </w:rPr>
      </w:pPr>
      <w:r w:rsidRPr="00A60ABE">
        <w:rPr>
          <w:rFonts w:ascii="Poppins" w:hAnsi="Poppins" w:cs="Poppins"/>
          <w:sz w:val="24"/>
          <w:szCs w:val="24"/>
          <w:lang w:eastAsia="en-GB"/>
        </w:rPr>
        <w:t>Competition and Cost Reflectivity</w:t>
      </w:r>
      <w:r w:rsidR="003E2071" w:rsidRPr="001D6188">
        <w:rPr>
          <w:rFonts w:ascii="Poppins" w:hAnsi="Poppins" w:cs="Poppins"/>
          <w:sz w:val="24"/>
          <w:szCs w:val="24"/>
        </w:rPr>
        <w:br/>
      </w:r>
      <w:r w:rsidRPr="00A60ABE">
        <w:rPr>
          <w:rFonts w:ascii="Poppins" w:eastAsia="Times New Roman" w:hAnsi="Poppins" w:cs="Poppins"/>
          <w:b w:val="0"/>
          <w:bCs w:val="0"/>
          <w:color w:val="000000" w:themeColor="text1"/>
          <w:kern w:val="0"/>
          <w:sz w:val="24"/>
          <w:szCs w:val="24"/>
          <w:lang w:eastAsia="en-GB"/>
          <w14:ligatures w14:val="none"/>
        </w:rPr>
        <w:t>The Proposer led a discussion on whether CMP460 improves or distorts competition. The Proposer argued that the proposal removes geographic inconsistencies by aligning charging treatment across Grid Supply Points (GSPs), thereby improving consistency for Users.</w:t>
      </w:r>
    </w:p>
    <w:p w14:paraId="0B6C0EED" w14:textId="046101ED" w:rsidR="003E2071" w:rsidRPr="001D6188" w:rsidRDefault="00A60ABE" w:rsidP="003E2071">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A Workgroup member and an Observer raised concerns that shifting costs away from embedded Users could distort cost recovery and increase charges for transmission</w:t>
      </w:r>
      <w:r w:rsidRPr="00A60ABE">
        <w:rPr>
          <w:rFonts w:ascii="Poppins" w:eastAsia="Times New Roman" w:hAnsi="Poppins" w:cs="Poppins"/>
          <w:color w:val="000000" w:themeColor="text1"/>
          <w:kern w:val="0"/>
          <w:lang w:eastAsia="en-GB"/>
          <w14:ligatures w14:val="none"/>
        </w:rPr>
        <w:noBreakHyphen/>
        <w:t>connected Users and demand. The discussion considered whether existing infrastructure charging arrangements are already cost</w:t>
      </w:r>
      <w:r w:rsidRPr="00A60ABE">
        <w:rPr>
          <w:rFonts w:ascii="Poppins" w:eastAsia="Times New Roman" w:hAnsi="Poppins" w:cs="Poppins"/>
          <w:color w:val="000000" w:themeColor="text1"/>
          <w:kern w:val="0"/>
          <w:lang w:eastAsia="en-GB"/>
          <w14:ligatures w14:val="none"/>
        </w:rPr>
        <w:noBreakHyphen/>
        <w:t xml:space="preserve">reflective and whether CMP460 should be assessed against the current baseline rather than anticipated future reforms. </w:t>
      </w:r>
    </w:p>
    <w:p w14:paraId="7BD6990C" w14:textId="33FCBBBE" w:rsidR="00A60ABE" w:rsidRP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b/>
          <w:bCs/>
          <w:color w:val="000000" w:themeColor="text1"/>
          <w:kern w:val="0"/>
          <w:lang w:eastAsia="en-GB"/>
          <w14:ligatures w14:val="none"/>
        </w:rPr>
        <w:lastRenderedPageBreak/>
        <w:t>Regulatory Context</w:t>
      </w:r>
      <w:r w:rsidR="003E2071" w:rsidRPr="00BA5EAE">
        <w:rPr>
          <w:rFonts w:ascii="Poppins" w:eastAsia="Times New Roman" w:hAnsi="Poppins" w:cs="Poppins"/>
          <w:b/>
          <w:bCs/>
          <w:color w:val="000000" w:themeColor="text1"/>
          <w:kern w:val="0"/>
          <w:lang w:eastAsia="en-GB"/>
          <w14:ligatures w14:val="none"/>
        </w:rPr>
        <w:br/>
      </w:r>
      <w:r w:rsidRPr="00A60ABE">
        <w:rPr>
          <w:rFonts w:ascii="Poppins" w:eastAsia="Times New Roman" w:hAnsi="Poppins" w:cs="Poppins"/>
          <w:color w:val="000000" w:themeColor="text1"/>
          <w:kern w:val="0"/>
          <w:lang w:eastAsia="en-GB"/>
          <w14:ligatures w14:val="none"/>
        </w:rPr>
        <w:t>Workgroup members discussed CMP460 in the context of wider industry reforms and related code modifications, including charging reform, CMP328</w:t>
      </w:r>
      <w:r w:rsidR="00BA5EAE">
        <w:rPr>
          <w:rFonts w:ascii="Poppins" w:eastAsia="Times New Roman" w:hAnsi="Poppins" w:cs="Poppins"/>
          <w:color w:val="000000" w:themeColor="text1"/>
          <w:kern w:val="0"/>
          <w:lang w:eastAsia="en-GB"/>
          <w14:ligatures w14:val="none"/>
        </w:rPr>
        <w:t>,</w:t>
      </w:r>
      <w:r w:rsidRPr="00A60ABE">
        <w:rPr>
          <w:rFonts w:ascii="Poppins" w:eastAsia="Times New Roman" w:hAnsi="Poppins" w:cs="Poppins"/>
          <w:color w:val="000000" w:themeColor="text1"/>
          <w:kern w:val="0"/>
          <w:lang w:eastAsia="en-GB"/>
          <w14:ligatures w14:val="none"/>
        </w:rPr>
        <w:t xml:space="preserve"> and changes affecting contestability. Concerns were raised that progressing CMP460 ahead of more comprehensive reforms could result in regulatory misalignment or the need for future rework.</w:t>
      </w:r>
    </w:p>
    <w:p w14:paraId="1E2B7BDB" w14:textId="77777777" w:rsidR="003E2071" w:rsidRPr="001D6188" w:rsidRDefault="00A60ABE" w:rsidP="003E2071">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The Proposer stated that, to date, the Authority had not indicated that CMP460 should be paused and reiterated that the modification seeks to address a defined defect relating to asset classification, distinct from wider charging reform. The Workgroup agreed that interactions with other modifications should be clearly acknowledged and considered as part of ongoing governance discussions.</w:t>
      </w:r>
    </w:p>
    <w:p w14:paraId="32F89C38" w14:textId="5EFA0030" w:rsidR="00A60ABE" w:rsidRP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b/>
          <w:bCs/>
          <w:color w:val="000000" w:themeColor="text1"/>
          <w:kern w:val="0"/>
          <w:lang w:eastAsia="en-GB"/>
          <w14:ligatures w14:val="none"/>
        </w:rPr>
        <w:t>Legal Text Structure and Definitions</w:t>
      </w:r>
      <w:r w:rsidR="003E2071" w:rsidRPr="00343995">
        <w:rPr>
          <w:rFonts w:ascii="Poppins" w:eastAsia="Times New Roman" w:hAnsi="Poppins" w:cs="Poppins"/>
          <w:b/>
          <w:bCs/>
          <w:color w:val="000000" w:themeColor="text1"/>
          <w:kern w:val="0"/>
          <w:lang w:eastAsia="en-GB"/>
          <w14:ligatures w14:val="none"/>
        </w:rPr>
        <w:br/>
      </w:r>
      <w:r w:rsidRPr="00A60ABE">
        <w:rPr>
          <w:rFonts w:ascii="Poppins" w:eastAsia="Times New Roman" w:hAnsi="Poppins" w:cs="Poppins"/>
          <w:color w:val="000000" w:themeColor="text1"/>
          <w:kern w:val="0"/>
          <w:lang w:eastAsia="en-GB"/>
          <w14:ligatures w14:val="none"/>
        </w:rPr>
        <w:t>The Proposer confirmed that initial Legal Text drafting would focus on CUSC Section 14, with the aim of reflecting previously shared principles and worked examples to provide clearer and more operable Legal Text.</w:t>
      </w:r>
    </w:p>
    <w:p w14:paraId="068DD44F" w14:textId="350D1E2B" w:rsidR="00A60ABE" w:rsidRP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 xml:space="preserve">The Proposer asked whether the definitions of </w:t>
      </w:r>
      <w:r w:rsidR="0002010A">
        <w:rPr>
          <w:rFonts w:ascii="Poppins" w:eastAsia="Times New Roman" w:hAnsi="Poppins" w:cs="Poppins"/>
          <w:color w:val="000000" w:themeColor="text1"/>
          <w:kern w:val="0"/>
          <w:lang w:eastAsia="en-GB"/>
          <w14:ligatures w14:val="none"/>
        </w:rPr>
        <w:t>‘</w:t>
      </w:r>
      <w:r w:rsidRPr="00A60ABE">
        <w:rPr>
          <w:rFonts w:ascii="Poppins" w:eastAsia="Times New Roman" w:hAnsi="Poppins" w:cs="Poppins"/>
          <w:color w:val="000000" w:themeColor="text1"/>
          <w:kern w:val="0"/>
          <w:lang w:eastAsia="en-GB"/>
          <w14:ligatures w14:val="none"/>
        </w:rPr>
        <w:t>Connection Assets</w:t>
      </w:r>
      <w:r w:rsidR="0002010A">
        <w:rPr>
          <w:rFonts w:ascii="Poppins" w:eastAsia="Times New Roman" w:hAnsi="Poppins" w:cs="Poppins"/>
          <w:color w:val="000000" w:themeColor="text1"/>
          <w:kern w:val="0"/>
          <w:lang w:eastAsia="en-GB"/>
          <w14:ligatures w14:val="none"/>
        </w:rPr>
        <w:t>’</w:t>
      </w:r>
      <w:r w:rsidRPr="00A60ABE">
        <w:rPr>
          <w:rFonts w:ascii="Poppins" w:eastAsia="Times New Roman" w:hAnsi="Poppins" w:cs="Poppins"/>
          <w:color w:val="000000" w:themeColor="text1"/>
          <w:kern w:val="0"/>
          <w:lang w:eastAsia="en-GB"/>
          <w14:ligatures w14:val="none"/>
        </w:rPr>
        <w:t xml:space="preserve"> and </w:t>
      </w:r>
      <w:r w:rsidR="0002010A">
        <w:rPr>
          <w:rFonts w:ascii="Poppins" w:eastAsia="Times New Roman" w:hAnsi="Poppins" w:cs="Poppins"/>
          <w:color w:val="000000" w:themeColor="text1"/>
          <w:kern w:val="0"/>
          <w:lang w:eastAsia="en-GB"/>
          <w14:ligatures w14:val="none"/>
        </w:rPr>
        <w:t>‘</w:t>
      </w:r>
      <w:r w:rsidRPr="00A60ABE">
        <w:rPr>
          <w:rFonts w:ascii="Poppins" w:eastAsia="Times New Roman" w:hAnsi="Poppins" w:cs="Poppins"/>
          <w:color w:val="000000" w:themeColor="text1"/>
          <w:kern w:val="0"/>
          <w:lang w:eastAsia="en-GB"/>
          <w14:ligatures w14:val="none"/>
        </w:rPr>
        <w:t>Infrastructure Assets</w:t>
      </w:r>
      <w:r w:rsidR="0002010A">
        <w:rPr>
          <w:rFonts w:ascii="Poppins" w:eastAsia="Times New Roman" w:hAnsi="Poppins" w:cs="Poppins"/>
          <w:color w:val="000000" w:themeColor="text1"/>
          <w:kern w:val="0"/>
          <w:lang w:eastAsia="en-GB"/>
          <w14:ligatures w14:val="none"/>
        </w:rPr>
        <w:t>’</w:t>
      </w:r>
      <w:r w:rsidRPr="00A60ABE">
        <w:rPr>
          <w:rFonts w:ascii="Poppins" w:eastAsia="Times New Roman" w:hAnsi="Poppins" w:cs="Poppins"/>
          <w:color w:val="000000" w:themeColor="text1"/>
          <w:kern w:val="0"/>
          <w:lang w:eastAsia="en-GB"/>
          <w14:ligatures w14:val="none"/>
        </w:rPr>
        <w:t xml:space="preserve"> should instead be located in CUSC Section 11. An Observer noted that the absence of explicit definitions has historically contributed to ambiguity, while a Workgroup member cautioned that relocating definitions could introduce administrative complexity and unintended consequences.</w:t>
      </w:r>
    </w:p>
    <w:p w14:paraId="0A168483" w14:textId="4B877561" w:rsidR="00A60ABE" w:rsidRP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The Workgroup discussed whether the objectives of CMP460 could be better achieved through clearer guiding principles rather than formal redefinition</w:t>
      </w:r>
      <w:r w:rsidR="00AF3015">
        <w:rPr>
          <w:rFonts w:ascii="Poppins" w:eastAsia="Times New Roman" w:hAnsi="Poppins" w:cs="Poppins"/>
          <w:color w:val="000000" w:themeColor="text1"/>
          <w:kern w:val="0"/>
          <w:lang w:eastAsia="en-GB"/>
          <w14:ligatures w14:val="none"/>
        </w:rPr>
        <w:t xml:space="preserve">. </w:t>
      </w:r>
      <w:r w:rsidRPr="00A60ABE">
        <w:rPr>
          <w:rFonts w:ascii="Poppins" w:eastAsia="Times New Roman" w:hAnsi="Poppins" w:cs="Poppins"/>
          <w:color w:val="000000" w:themeColor="text1"/>
          <w:kern w:val="0"/>
          <w:lang w:eastAsia="en-GB"/>
          <w14:ligatures w14:val="none"/>
        </w:rPr>
        <w:t>The Proposer agreed to consider the implications further.</w:t>
      </w:r>
    </w:p>
    <w:p w14:paraId="1CE656B4" w14:textId="77777777" w:rsid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A Workgroup member emphasised the need to clearly define whether asset sharing should be determined by CUSC contractual counterparties rather than non</w:t>
      </w:r>
      <w:r w:rsidRPr="00A60ABE">
        <w:rPr>
          <w:rFonts w:ascii="Poppins" w:eastAsia="Times New Roman" w:hAnsi="Poppins" w:cs="Poppins"/>
          <w:color w:val="000000" w:themeColor="text1"/>
          <w:kern w:val="0"/>
          <w:lang w:eastAsia="en-GB"/>
          <w14:ligatures w14:val="none"/>
        </w:rPr>
        <w:noBreakHyphen/>
        <w:t>CUSC Users, noting that ambiguity in this area materially affects charging outcomes and should be addressed in the Legal Text.</w:t>
      </w:r>
    </w:p>
    <w:p w14:paraId="28D267F5" w14:textId="77777777" w:rsidR="004B5B75" w:rsidRDefault="004B5B75"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p>
    <w:p w14:paraId="126DAEEC" w14:textId="77777777" w:rsidR="004B5B75" w:rsidRPr="00A60ABE" w:rsidRDefault="004B5B75"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p>
    <w:p w14:paraId="2D05F5D6" w14:textId="535E5515" w:rsidR="00A60ABE" w:rsidRPr="00A60ABE" w:rsidRDefault="00A60ABE" w:rsidP="004B5B75">
      <w:pPr>
        <w:spacing w:after="0" w:line="300" w:lineRule="atLeast"/>
        <w:rPr>
          <w:rFonts w:ascii="Poppins" w:eastAsia="Times New Roman" w:hAnsi="Poppins" w:cs="Poppins"/>
          <w:b/>
          <w:bCs/>
          <w:color w:val="000000" w:themeColor="text1"/>
          <w:kern w:val="0"/>
          <w:lang w:eastAsia="en-GB"/>
          <w14:ligatures w14:val="none"/>
        </w:rPr>
      </w:pPr>
      <w:r w:rsidRPr="00A60ABE">
        <w:rPr>
          <w:rFonts w:ascii="Poppins" w:eastAsia="Times New Roman" w:hAnsi="Poppins" w:cs="Poppins"/>
          <w:b/>
          <w:bCs/>
          <w:color w:val="000000" w:themeColor="text1"/>
          <w:kern w:val="0"/>
          <w:lang w:eastAsia="en-GB"/>
          <w14:ligatures w14:val="none"/>
        </w:rPr>
        <w:lastRenderedPageBreak/>
        <w:t>Asset Classification and Boundary Definitions</w:t>
      </w:r>
      <w:r w:rsidR="004B5B75">
        <w:rPr>
          <w:rFonts w:ascii="Poppins" w:eastAsia="Times New Roman" w:hAnsi="Poppins" w:cs="Poppins"/>
          <w:b/>
          <w:bCs/>
          <w:color w:val="000000" w:themeColor="text1"/>
          <w:kern w:val="0"/>
          <w:lang w:eastAsia="en-GB"/>
          <w14:ligatures w14:val="none"/>
        </w:rPr>
        <w:br/>
      </w:r>
      <w:r w:rsidRPr="00A60ABE">
        <w:rPr>
          <w:rFonts w:ascii="Poppins" w:eastAsia="Times New Roman" w:hAnsi="Poppins" w:cs="Poppins"/>
          <w:color w:val="000000" w:themeColor="text1"/>
          <w:kern w:val="0"/>
          <w:lang w:eastAsia="en-GB"/>
          <w14:ligatures w14:val="none"/>
        </w:rPr>
        <w:t>The Proposer clarified the underlying principles for asset classification, explaining that Connection Assets defined as Infrastructure are required exclusively for the connection of a single User and are not shared. Consideration was also given to the treatment of embedded customers and distribution license holders.</w:t>
      </w:r>
    </w:p>
    <w:p w14:paraId="58B4E9BC" w14:textId="595B7B74" w:rsidR="00A60ABE" w:rsidRP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 xml:space="preserve">Workgroup members </w:t>
      </w:r>
      <w:r w:rsidR="00AF3015">
        <w:rPr>
          <w:rFonts w:ascii="Poppins" w:eastAsia="Times New Roman" w:hAnsi="Poppins" w:cs="Poppins"/>
          <w:color w:val="000000" w:themeColor="text1"/>
          <w:kern w:val="0"/>
          <w:lang w:eastAsia="en-GB"/>
          <w14:ligatures w14:val="none"/>
        </w:rPr>
        <w:t>raised</w:t>
      </w:r>
      <w:r w:rsidRPr="00A60ABE">
        <w:rPr>
          <w:rFonts w:ascii="Poppins" w:eastAsia="Times New Roman" w:hAnsi="Poppins" w:cs="Poppins"/>
          <w:color w:val="000000" w:themeColor="text1"/>
          <w:kern w:val="0"/>
          <w:lang w:eastAsia="en-GB"/>
          <w14:ligatures w14:val="none"/>
        </w:rPr>
        <w:t xml:space="preserve"> concerns regarding potential unintended consequences and the risk of system gaming under the revised classification approach.</w:t>
      </w:r>
    </w:p>
    <w:p w14:paraId="2F77A6B7" w14:textId="77777777" w:rsid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The Workgroup reviewed specific boundary cases, including double busbar arrangements, teed and meshed connections, and tertiary connections. Members stressed the importance of updating or expanding worked examples to support consistent interpretation and application of the Legal Text in practice.</w:t>
      </w:r>
    </w:p>
    <w:p w14:paraId="08070AF2" w14:textId="77777777" w:rsidR="003B4070" w:rsidRPr="00D51647" w:rsidRDefault="003B4070">
      <w:pPr>
        <w:spacing w:line="300" w:lineRule="atLeast"/>
        <w:rPr>
          <w:rFonts w:ascii="Poppins" w:hAnsi="Poppins" w:cs="Poppins"/>
          <w:color w:val="000000"/>
        </w:rPr>
      </w:pPr>
      <w:r>
        <w:rPr>
          <w:rFonts w:ascii="Poppins" w:hAnsi="Poppins" w:cs="Poppins"/>
          <w:color w:val="000000"/>
        </w:rPr>
        <w:t xml:space="preserve">The Workgroup discussed how ‘shared’ Assets should be defined. The Proposer proposed wording intended to capture Assets that are capable of shared use now or in the future, to avoid classification being determined solely by the order in which Users connect.  Several Workgroup members expressed concern that the proposed wording could be ambiguous or overly broad, particularly where Assets were theoretically shareable but not designed or intended to be shared in practice. It was highlighted that previous disputes had arisen due to insufficient clarity in the existing Code, and that clearer drafting was needed to avoid </w:t>
      </w:r>
      <w:r w:rsidRPr="00D51647">
        <w:rPr>
          <w:rFonts w:ascii="Poppins" w:hAnsi="Poppins" w:cs="Poppins"/>
          <w:color w:val="000000"/>
        </w:rPr>
        <w:t>reliance on interpretation or external determinations.</w:t>
      </w:r>
    </w:p>
    <w:p w14:paraId="01C9B899" w14:textId="3E56A87B" w:rsidR="00D51647" w:rsidRPr="00D51647" w:rsidRDefault="00D51647" w:rsidP="00D51647">
      <w:pPr>
        <w:spacing w:line="300" w:lineRule="atLeast"/>
        <w:rPr>
          <w:rFonts w:ascii="Poppins" w:hAnsi="Poppins" w:cs="Poppins"/>
          <w:kern w:val="0"/>
          <w14:ligatures w14:val="none"/>
        </w:rPr>
      </w:pPr>
      <w:r w:rsidRPr="00D51647">
        <w:rPr>
          <w:rFonts w:ascii="Poppins" w:hAnsi="Poppins" w:cs="Poppins"/>
          <w:b/>
          <w:bCs/>
          <w:kern w:val="0"/>
          <w14:ligatures w14:val="none"/>
        </w:rPr>
        <w:t>Tertiary Connections and Grid Parks</w:t>
      </w:r>
      <w:r w:rsidRPr="00D51647">
        <w:rPr>
          <w:rFonts w:ascii="Poppins" w:hAnsi="Poppins" w:cs="Poppins"/>
          <w:b/>
          <w:bCs/>
          <w:kern w:val="0"/>
          <w14:ligatures w14:val="none"/>
        </w:rPr>
        <w:br/>
      </w:r>
      <w:r w:rsidRPr="00D51647">
        <w:rPr>
          <w:rFonts w:ascii="Poppins" w:hAnsi="Poppins" w:cs="Poppins"/>
          <w:kern w:val="0"/>
          <w14:ligatures w14:val="none"/>
        </w:rPr>
        <w:t>The Proposer explained that additional sub</w:t>
      </w:r>
      <w:r w:rsidRPr="00D51647">
        <w:rPr>
          <w:rFonts w:ascii="Cambria Math" w:hAnsi="Cambria Math" w:cs="Cambria Math"/>
          <w:kern w:val="0"/>
          <w14:ligatures w14:val="none"/>
        </w:rPr>
        <w:t>‑</w:t>
      </w:r>
      <w:r w:rsidRPr="00D51647">
        <w:rPr>
          <w:rFonts w:ascii="Poppins" w:hAnsi="Poppins" w:cs="Poppins"/>
          <w:kern w:val="0"/>
          <w14:ligatures w14:val="none"/>
        </w:rPr>
        <w:t>clauses within Section 14 were intended to clarify known edge cases, including tertiary Connections and grid park arrangements, where inconsistent treatment had been observed historically.  Some Workgroup members questioned whether these additions were necessary or risked expanding the scope of CMP460 beyond its original intent, particularly where they appeared to address non</w:t>
      </w:r>
      <w:r w:rsidRPr="00D51647">
        <w:rPr>
          <w:rFonts w:ascii="Cambria Math" w:hAnsi="Cambria Math" w:cs="Cambria Math"/>
          <w:kern w:val="0"/>
          <w14:ligatures w14:val="none"/>
        </w:rPr>
        <w:t>‑</w:t>
      </w:r>
      <w:r w:rsidRPr="00D51647">
        <w:rPr>
          <w:rFonts w:ascii="Poppins" w:hAnsi="Poppins" w:cs="Poppins"/>
          <w:kern w:val="0"/>
          <w14:ligatures w14:val="none"/>
        </w:rPr>
        <w:t>DNO or affiliate scenarios. The Proposer stated that these provisions were intended to prevent gaming and to ensure consistent treatment aligned with the intent of the modification.</w:t>
      </w:r>
    </w:p>
    <w:p w14:paraId="71B7E6A0" w14:textId="6991114B" w:rsidR="0099403B" w:rsidRDefault="00A60ABE" w:rsidP="0099403B">
      <w:pPr>
        <w:spacing w:after="0"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b/>
          <w:bCs/>
          <w:color w:val="000000" w:themeColor="text1"/>
          <w:kern w:val="0"/>
          <w:lang w:eastAsia="en-GB"/>
          <w14:ligatures w14:val="none"/>
        </w:rPr>
        <w:lastRenderedPageBreak/>
        <w:t>Securities, Attribution and Practical Impacts</w:t>
      </w:r>
      <w:r w:rsidR="0099403B" w:rsidRPr="0099403B">
        <w:rPr>
          <w:rFonts w:ascii="Poppins" w:eastAsia="Times New Roman" w:hAnsi="Poppins" w:cs="Poppins"/>
          <w:b/>
          <w:bCs/>
          <w:color w:val="000000" w:themeColor="text1"/>
          <w:kern w:val="0"/>
          <w:lang w:eastAsia="en-GB"/>
          <w14:ligatures w14:val="none"/>
        </w:rPr>
        <w:br/>
      </w:r>
      <w:r w:rsidRPr="00A60ABE">
        <w:rPr>
          <w:rFonts w:ascii="Poppins" w:eastAsia="Times New Roman" w:hAnsi="Poppins" w:cs="Poppins"/>
          <w:color w:val="000000" w:themeColor="text1"/>
          <w:kern w:val="0"/>
          <w:lang w:eastAsia="en-GB"/>
          <w14:ligatures w14:val="none"/>
        </w:rPr>
        <w:t>The Workgroup discussed potential unintended consequences of asset reclassification for securities and attribution. The NESO SME agreed to confirm current practice, including whether securities treatment differs between Connection Assets and Infrastructure Assets, particularly where works are attributable to specific Users.</w:t>
      </w:r>
    </w:p>
    <w:p w14:paraId="78F5E58C" w14:textId="2523BBF3" w:rsidR="00A60ABE" w:rsidRPr="00A60ABE" w:rsidRDefault="00A60ABE" w:rsidP="001D6188">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b/>
          <w:bCs/>
          <w:color w:val="000000" w:themeColor="text1"/>
          <w:kern w:val="0"/>
          <w:lang w:eastAsia="en-GB"/>
          <w14:ligatures w14:val="none"/>
        </w:rPr>
        <w:t>Retrospectivity, Termination Charges</w:t>
      </w:r>
      <w:r w:rsidRPr="0099403B">
        <w:rPr>
          <w:rFonts w:ascii="Poppins" w:eastAsia="Times New Roman" w:hAnsi="Poppins" w:cs="Poppins"/>
          <w:b/>
          <w:bCs/>
          <w:color w:val="000000" w:themeColor="text1"/>
          <w:kern w:val="0"/>
          <w:lang w:eastAsia="en-GB"/>
          <w14:ligatures w14:val="none"/>
        </w:rPr>
        <w:t>,</w:t>
      </w:r>
      <w:r w:rsidRPr="00A60ABE">
        <w:rPr>
          <w:rFonts w:ascii="Poppins" w:eastAsia="Times New Roman" w:hAnsi="Poppins" w:cs="Poppins"/>
          <w:b/>
          <w:bCs/>
          <w:color w:val="000000" w:themeColor="text1"/>
          <w:kern w:val="0"/>
          <w:lang w:eastAsia="en-GB"/>
          <w14:ligatures w14:val="none"/>
        </w:rPr>
        <w:t xml:space="preserve"> and Capital Contributions</w:t>
      </w:r>
      <w:r w:rsidR="001D6188" w:rsidRPr="0099403B">
        <w:rPr>
          <w:rFonts w:ascii="Poppins" w:eastAsia="Times New Roman" w:hAnsi="Poppins" w:cs="Poppins"/>
          <w:b/>
          <w:bCs/>
          <w:color w:val="000000" w:themeColor="text1"/>
          <w:kern w:val="0"/>
          <w:lang w:eastAsia="en-GB"/>
          <w14:ligatures w14:val="none"/>
        </w:rPr>
        <w:br/>
      </w:r>
      <w:r w:rsidRPr="00A60ABE">
        <w:rPr>
          <w:rFonts w:ascii="Poppins" w:eastAsia="Times New Roman" w:hAnsi="Poppins" w:cs="Poppins"/>
          <w:color w:val="000000" w:themeColor="text1"/>
          <w:kern w:val="0"/>
          <w:lang w:eastAsia="en-GB"/>
          <w14:ligatures w14:val="none"/>
        </w:rPr>
        <w:t>The Proposer outlined the approach to termination charge calculations for Connection Assets, noting that charges are based on the net asset value, reasonable asset removal costs and any capital contributions already paid. A Workgroup member clarified that the calculation should ensure that where capital contributions equal or exceed the asset value, no refund would be payable.</w:t>
      </w:r>
    </w:p>
    <w:p w14:paraId="0C7429D1" w14:textId="044808AC" w:rsidR="00A60ABE" w:rsidRP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 xml:space="preserve">The Workgroup considered whether the reclassification of </w:t>
      </w:r>
      <w:r w:rsidR="008817AE">
        <w:rPr>
          <w:rFonts w:ascii="Poppins" w:eastAsia="Times New Roman" w:hAnsi="Poppins" w:cs="Poppins"/>
          <w:color w:val="000000" w:themeColor="text1"/>
          <w:kern w:val="0"/>
          <w:lang w:eastAsia="en-GB"/>
          <w14:ligatures w14:val="none"/>
        </w:rPr>
        <w:t>A</w:t>
      </w:r>
      <w:r w:rsidRPr="00A60ABE">
        <w:rPr>
          <w:rFonts w:ascii="Poppins" w:eastAsia="Times New Roman" w:hAnsi="Poppins" w:cs="Poppins"/>
          <w:color w:val="000000" w:themeColor="text1"/>
          <w:kern w:val="0"/>
          <w:lang w:eastAsia="en-GB"/>
          <w14:ligatures w14:val="none"/>
        </w:rPr>
        <w:t>ssets from Connection to Infrastructure under CMP460 should trigger termination or reuse payments. Regulatory and practical challenges were identified, particularly for Users who have recently made capital contributions.</w:t>
      </w:r>
    </w:p>
    <w:p w14:paraId="6119D368" w14:textId="77777777" w:rsidR="001A2F22" w:rsidRDefault="00A60ABE" w:rsidP="001A2F22">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Members highlighted the need to consider how capital contributions are regulated and the implications for Transmission Owner allowances. The Workgroup recommended that transitional arrangements and clear industry guidance would be necessary to support implementation and manage impacts.</w:t>
      </w:r>
    </w:p>
    <w:p w14:paraId="390C50AA" w14:textId="77777777" w:rsidR="003B4070" w:rsidRDefault="003B4070">
      <w:pPr>
        <w:spacing w:line="300" w:lineRule="atLeast"/>
        <w:rPr>
          <w:kern w:val="0"/>
          <w14:ligatures w14:val="none"/>
        </w:rPr>
      </w:pPr>
      <w:r>
        <w:rPr>
          <w:rFonts w:ascii="Poppins" w:hAnsi="Poppins" w:cs="Poppins"/>
          <w:color w:val="000000"/>
        </w:rPr>
        <w:t>The Proposer confirmed that the proposed changes were not intended to alter charges already paid in previous charging years. However, they stated that reclassification of Assets could affect how Assets are charged in the future, including Assets that are already energised.  Workgroup members raised concerns about the implications for capital contributions already paid, potential reimbursement mechanisms, and the interaction with transmission price control arrangements. It was noted that these issues had material implications and could affect both implementation complexity and the likelihood of regulatory approval.</w:t>
      </w:r>
    </w:p>
    <w:p w14:paraId="4F59CAE5" w14:textId="1F7E2129" w:rsidR="00A60ABE" w:rsidRPr="00A60ABE" w:rsidRDefault="00A60ABE" w:rsidP="001A2F22">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hAnsi="Poppins" w:cs="Poppins"/>
          <w:b/>
          <w:bCs/>
          <w:lang w:eastAsia="en-GB"/>
        </w:rPr>
        <w:t>Drafting Process</w:t>
      </w:r>
      <w:r w:rsidR="00FC548A">
        <w:rPr>
          <w:rFonts w:ascii="Poppins" w:hAnsi="Poppins" w:cs="Poppins"/>
          <w:b/>
          <w:bCs/>
          <w:lang w:eastAsia="en-GB"/>
        </w:rPr>
        <w:t xml:space="preserve"> and </w:t>
      </w:r>
      <w:r w:rsidRPr="00A60ABE">
        <w:rPr>
          <w:rFonts w:ascii="Poppins" w:hAnsi="Poppins" w:cs="Poppins"/>
          <w:b/>
          <w:bCs/>
          <w:lang w:eastAsia="en-GB"/>
        </w:rPr>
        <w:t>Timescales</w:t>
      </w:r>
      <w:r w:rsidR="008817AE" w:rsidRPr="001A2F22">
        <w:rPr>
          <w:rFonts w:ascii="Poppins" w:hAnsi="Poppins" w:cs="Poppins"/>
          <w:b/>
          <w:bCs/>
        </w:rPr>
        <w:br/>
      </w:r>
      <w:r w:rsidRPr="00A60ABE">
        <w:rPr>
          <w:rFonts w:ascii="Poppins" w:eastAsia="Times New Roman" w:hAnsi="Poppins" w:cs="Poppins"/>
          <w:color w:val="000000" w:themeColor="text1"/>
          <w:kern w:val="0"/>
          <w:lang w:eastAsia="en-GB"/>
          <w14:ligatures w14:val="none"/>
        </w:rPr>
        <w:t xml:space="preserve">During discussions on drafting timescales, the NESO SME noted that completion </w:t>
      </w:r>
      <w:r w:rsidRPr="00A60ABE">
        <w:rPr>
          <w:rFonts w:ascii="Poppins" w:eastAsia="Times New Roman" w:hAnsi="Poppins" w:cs="Poppins"/>
          <w:color w:val="000000" w:themeColor="text1"/>
          <w:kern w:val="0"/>
          <w:lang w:eastAsia="en-GB"/>
          <w14:ligatures w14:val="none"/>
        </w:rPr>
        <w:lastRenderedPageBreak/>
        <w:t>of the Legal Text could take at least one month following review by NESO Legal, with longer timescales possible depending on complexity. It was suggested that worked examples would be beneficial to support understanding as drafting progresses.</w:t>
      </w:r>
    </w:p>
    <w:p w14:paraId="42C98025" w14:textId="77777777" w:rsidR="00A60ABE" w:rsidRP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The Proposer outlined that a revised version of the Legal Text for Section 14 had been reviewed in detail, covering asset classification principles, contestability considerations and boundary definitions. Actions were taken for further refinement and feedback.</w:t>
      </w:r>
    </w:p>
    <w:p w14:paraId="4745D3D2" w14:textId="44CAE841" w:rsidR="00A60ABE" w:rsidRDefault="00A60ABE" w:rsidP="00A60ABE">
      <w:pPr>
        <w:spacing w:before="100" w:beforeAutospacing="1" w:after="100" w:afterAutospacing="1" w:line="300" w:lineRule="atLeast"/>
        <w:rPr>
          <w:rFonts w:ascii="Poppins" w:eastAsia="Times New Roman" w:hAnsi="Poppins" w:cs="Poppins"/>
          <w:color w:val="000000" w:themeColor="text1"/>
          <w:kern w:val="0"/>
          <w:lang w:eastAsia="en-GB"/>
          <w14:ligatures w14:val="none"/>
        </w:rPr>
      </w:pPr>
      <w:r w:rsidRPr="00A60ABE">
        <w:rPr>
          <w:rFonts w:ascii="Poppins" w:eastAsia="Times New Roman" w:hAnsi="Poppins" w:cs="Poppins"/>
          <w:color w:val="000000" w:themeColor="text1"/>
          <w:kern w:val="0"/>
          <w:lang w:eastAsia="en-GB"/>
          <w14:ligatures w14:val="none"/>
        </w:rPr>
        <w:t>The Proposer suggested that Ofgem could be presented with options for retrospective and non</w:t>
      </w:r>
      <w:r w:rsidRPr="00A60ABE">
        <w:rPr>
          <w:rFonts w:ascii="Poppins" w:eastAsia="Times New Roman" w:hAnsi="Poppins" w:cs="Poppins"/>
          <w:color w:val="000000" w:themeColor="text1"/>
          <w:kern w:val="0"/>
          <w:lang w:eastAsia="en-GB"/>
          <w14:ligatures w14:val="none"/>
        </w:rPr>
        <w:noBreakHyphen/>
        <w:t xml:space="preserve">retrospective application, recognising the complexity and potential for unintended consequences. </w:t>
      </w:r>
    </w:p>
    <w:p w14:paraId="6017D33B" w14:textId="28E4CC59" w:rsidR="004E5FC5" w:rsidRPr="00ED6BAC" w:rsidRDefault="004E5FC5" w:rsidP="004E5FC5">
      <w:pPr>
        <w:pStyle w:val="Heading2"/>
        <w:rPr>
          <w:rFonts w:ascii="Poppins" w:hAnsi="Poppins" w:cs="Poppins"/>
          <w:color w:val="3F0731"/>
          <w:szCs w:val="28"/>
        </w:rPr>
      </w:pPr>
      <w:r>
        <w:rPr>
          <w:rFonts w:ascii="Poppins" w:hAnsi="Poppins" w:cs="Poppins"/>
          <w:color w:val="3F0731"/>
          <w:szCs w:val="28"/>
        </w:rPr>
        <w:t>Alternative Requests</w:t>
      </w:r>
      <w:bookmarkEnd w:id="28"/>
      <w:r>
        <w:rPr>
          <w:rFonts w:ascii="Poppins" w:hAnsi="Poppins" w:cs="Poppins"/>
          <w:color w:val="3F0731"/>
          <w:szCs w:val="28"/>
        </w:rPr>
        <w:t xml:space="preserve"> </w:t>
      </w:r>
    </w:p>
    <w:p w14:paraId="0D0F65FD" w14:textId="01F95B68" w:rsidR="00FA6104" w:rsidRPr="00753FEB" w:rsidRDefault="00FA6104" w:rsidP="00FA6104">
      <w:pPr>
        <w:spacing w:line="240" w:lineRule="auto"/>
        <w:rPr>
          <w:rFonts w:ascii="Poppins" w:hAnsi="Poppins" w:cs="Poppins"/>
          <w:iCs/>
          <w:highlight w:val="yellow"/>
        </w:rPr>
      </w:pPr>
      <w:r w:rsidRPr="00753FEB">
        <w:rPr>
          <w:rFonts w:ascii="Poppins" w:hAnsi="Poppins" w:cs="Poppins"/>
          <w:iCs/>
          <w:highlight w:val="yellow"/>
        </w:rPr>
        <w:t xml:space="preserve">Following the Workgroup Consultation </w:t>
      </w:r>
      <w:r w:rsidR="00D80384" w:rsidRPr="00753FEB">
        <w:rPr>
          <w:rFonts w:ascii="Poppins" w:hAnsi="Poppins" w:cs="Poppins"/>
          <w:iCs/>
          <w:highlight w:val="yellow"/>
        </w:rPr>
        <w:t>X</w:t>
      </w:r>
      <w:r w:rsidRPr="00753FEB">
        <w:rPr>
          <w:rFonts w:ascii="Poppins" w:hAnsi="Poppins" w:cs="Poppins"/>
          <w:iCs/>
          <w:highlight w:val="yellow"/>
        </w:rPr>
        <w:t xml:space="preserve"> Alternative Requests were submitted by Workgroup members (</w:t>
      </w:r>
      <w:r w:rsidRPr="00753FEB">
        <w:rPr>
          <w:rFonts w:ascii="Poppins" w:hAnsi="Poppins" w:cs="Poppins"/>
          <w:b/>
          <w:bCs/>
          <w:iCs/>
          <w:highlight w:val="yellow"/>
        </w:rPr>
        <w:t xml:space="preserve">Annex </w:t>
      </w:r>
      <w:r w:rsidR="008D5664" w:rsidRPr="00753FEB">
        <w:rPr>
          <w:rFonts w:ascii="Poppins" w:hAnsi="Poppins" w:cs="Poppins"/>
          <w:b/>
          <w:bCs/>
          <w:iCs/>
          <w:highlight w:val="yellow"/>
        </w:rPr>
        <w:t>X</w:t>
      </w:r>
      <w:r w:rsidRPr="00753FEB">
        <w:rPr>
          <w:rFonts w:ascii="Poppins" w:hAnsi="Poppins" w:cs="Poppins"/>
          <w:iCs/>
          <w:highlight w:val="yellow"/>
        </w:rPr>
        <w:t xml:space="preserve">). </w:t>
      </w:r>
    </w:p>
    <w:p w14:paraId="22C84F70" w14:textId="77777777" w:rsidR="00FA6104" w:rsidRPr="00753FEB" w:rsidRDefault="00FA6104" w:rsidP="00FA6104">
      <w:pPr>
        <w:spacing w:line="240" w:lineRule="auto"/>
        <w:rPr>
          <w:rFonts w:ascii="Poppins" w:hAnsi="Poppins" w:cs="Poppins"/>
          <w:iCs/>
          <w:highlight w:val="yellow"/>
        </w:rPr>
      </w:pPr>
      <w:r w:rsidRPr="00753FEB">
        <w:rPr>
          <w:rFonts w:ascii="Poppins" w:hAnsi="Poppins" w:cs="Poppins"/>
          <w:iCs/>
          <w:highlight w:val="yellow"/>
        </w:rPr>
        <w:t xml:space="preserve">These Requests set out the case as to why the party or Workgroup member who submitted them wished to amend parts of the Original Proposal.  </w:t>
      </w:r>
    </w:p>
    <w:p w14:paraId="799C3BD3" w14:textId="56346226" w:rsidR="009004D9" w:rsidRPr="00753FEB" w:rsidRDefault="00FA6104" w:rsidP="00FA6104">
      <w:pPr>
        <w:spacing w:line="240" w:lineRule="auto"/>
        <w:rPr>
          <w:rFonts w:ascii="Poppins" w:hAnsi="Poppins" w:cs="Poppins"/>
          <w:iCs/>
          <w:highlight w:val="yellow"/>
        </w:rPr>
      </w:pPr>
      <w:r w:rsidRPr="00753FEB">
        <w:rPr>
          <w:rFonts w:ascii="Poppins" w:hAnsi="Poppins" w:cs="Poppins"/>
          <w:iCs/>
          <w:highlight w:val="yellow"/>
        </w:rPr>
        <w:t xml:space="preserve">The Workgroup reviewed these </w:t>
      </w:r>
      <w:r w:rsidR="5963C777" w:rsidRPr="00753FEB">
        <w:rPr>
          <w:rFonts w:ascii="Poppins" w:hAnsi="Poppins" w:cs="Poppins"/>
          <w:highlight w:val="yellow"/>
        </w:rPr>
        <w:t>r</w:t>
      </w:r>
      <w:r w:rsidRPr="00753FEB">
        <w:rPr>
          <w:rFonts w:ascii="Poppins" w:hAnsi="Poppins" w:cs="Poppins"/>
          <w:highlight w:val="yellow"/>
        </w:rPr>
        <w:t>equests</w:t>
      </w:r>
      <w:r w:rsidRPr="00753FEB">
        <w:rPr>
          <w:rFonts w:ascii="Poppins" w:hAnsi="Poppins" w:cs="Poppins"/>
          <w:iCs/>
          <w:highlight w:val="yellow"/>
        </w:rPr>
        <w:t>, and the table below provides an overview of each Request (and who raised it) along with its status</w:t>
      </w:r>
      <w:r w:rsidR="009004D9" w:rsidRPr="00753FEB">
        <w:rPr>
          <w:rFonts w:ascii="Poppins" w:hAnsi="Poppins" w:cs="Poppins"/>
          <w:iCs/>
          <w:highlight w:val="yellow"/>
        </w:rPr>
        <w:t>.</w:t>
      </w:r>
    </w:p>
    <w:p w14:paraId="79AFFA12" w14:textId="77777777" w:rsidR="009004D9" w:rsidRPr="00754BE1" w:rsidRDefault="009004D9" w:rsidP="009004D9">
      <w:pPr>
        <w:pStyle w:val="BodyText"/>
        <w:rPr>
          <w:rFonts w:cs="Poppins"/>
          <w:iCs/>
          <w:sz w:val="24"/>
          <w:szCs w:val="24"/>
        </w:rPr>
      </w:pPr>
      <w:commentRangeStart w:id="29"/>
      <w:r w:rsidRPr="00753FEB">
        <w:rPr>
          <w:rFonts w:cs="Poppins"/>
          <w:iCs/>
          <w:sz w:val="24"/>
          <w:szCs w:val="24"/>
          <w:highlight w:val="yellow"/>
        </w:rPr>
        <w:t>Throughout the Workgroup discussion, XX Alternative Requests were raised, XX of these were voted to become Workgroup Alternatives (WACMs/ WAGCMs/ASMs), with Alternative Request X becoming WACMX/ WAGCMX/ASMX and Alternative Request X becoming WACMX/ WAGCMX/ASMX. It was later agreed by the Workgroup (at Workgroup meeting XX on DD Month Year) not to continue developing WACMX/ WAGCMX/ASMX as an option, and so it was withdrawn. </w:t>
      </w:r>
      <w:commentRangeEnd w:id="29"/>
      <w:r w:rsidR="008D2663" w:rsidRPr="00753FEB">
        <w:rPr>
          <w:rStyle w:val="CommentReference"/>
          <w:rFonts w:cs="Poppins"/>
          <w:iCs/>
          <w:sz w:val="24"/>
          <w:szCs w:val="24"/>
          <w:highlight w:val="yellow"/>
        </w:rPr>
        <w:commentReference w:id="29"/>
      </w:r>
    </w:p>
    <w:p w14:paraId="6F197E72" w14:textId="77777777" w:rsidR="00FA6104" w:rsidRPr="00AD3146" w:rsidRDefault="00FA6104" w:rsidP="00FA6104">
      <w:pPr>
        <w:spacing w:line="240" w:lineRule="auto"/>
        <w:rPr>
          <w:rFonts w:ascii="Poppins" w:hAnsi="Poppins" w:cs="Poppins"/>
          <w:iCs/>
        </w:rPr>
      </w:pPr>
      <w:r w:rsidRPr="00AD3146">
        <w:rPr>
          <w:rFonts w:ascii="Poppins" w:hAnsi="Poppins" w:cs="Poppins"/>
          <w:iCs/>
        </w:rPr>
        <w:t xml:space="preserve"> </w:t>
      </w:r>
    </w:p>
    <w:tbl>
      <w:tblPr>
        <w:tblStyle w:val="PlainTable5"/>
        <w:tblpPr w:leftFromText="180" w:rightFromText="180" w:topFromText="60" w:bottomFromText="60" w:vertAnchor="text" w:horzAnchor="margin" w:tblpY="30"/>
        <w:tblW w:w="4953" w:type="pct"/>
        <w:tblBorders>
          <w:top w:val="single" w:sz="4" w:space="0" w:color="050A2F" w:themeColor="background2" w:themeShade="BF"/>
          <w:left w:val="single" w:sz="4" w:space="0" w:color="050A2F" w:themeColor="background2" w:themeShade="BF"/>
          <w:bottom w:val="single" w:sz="4" w:space="0" w:color="050A2F" w:themeColor="background2" w:themeShade="BF"/>
          <w:right w:val="single" w:sz="4" w:space="0" w:color="050A2F" w:themeColor="background2" w:themeShade="BF"/>
          <w:insideH w:val="single" w:sz="4" w:space="0" w:color="050A2F" w:themeColor="background2" w:themeShade="BF"/>
          <w:insideV w:val="single" w:sz="4" w:space="0" w:color="050A2F" w:themeColor="background2" w:themeShade="BF"/>
        </w:tblBorders>
        <w:tblLook w:val="04A0" w:firstRow="1" w:lastRow="0" w:firstColumn="1" w:lastColumn="0" w:noHBand="0" w:noVBand="1"/>
      </w:tblPr>
      <w:tblGrid>
        <w:gridCol w:w="2545"/>
        <w:gridCol w:w="1120"/>
        <w:gridCol w:w="3432"/>
        <w:gridCol w:w="2553"/>
      </w:tblGrid>
      <w:tr w:rsidR="00E209D2" w:rsidRPr="00D6668B" w14:paraId="35005413" w14:textId="77777777" w:rsidTr="00754BE1">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1318" w:type="pct"/>
            <w:shd w:val="clear" w:color="auto" w:fill="3F0731"/>
            <w:hideMark/>
          </w:tcPr>
          <w:p w14:paraId="4014C9A2" w14:textId="77777777" w:rsidR="00FA6104" w:rsidRPr="00D6668B" w:rsidRDefault="00FA6104">
            <w:pPr>
              <w:pStyle w:val="BodyText"/>
              <w:jc w:val="center"/>
              <w:rPr>
                <w:rFonts w:cs="Poppins"/>
                <w:b/>
                <w:i w:val="0"/>
                <w:iCs w:val="0"/>
                <w:color w:val="FFFFFF" w:themeColor="background1"/>
                <w:sz w:val="20"/>
              </w:rPr>
            </w:pPr>
            <w:r w:rsidRPr="00D6668B">
              <w:rPr>
                <w:rFonts w:cs="Poppins"/>
                <w:b/>
                <w:i w:val="0"/>
                <w:iCs w:val="0"/>
                <w:color w:val="FFFFFF" w:themeColor="background1"/>
                <w:sz w:val="20"/>
              </w:rPr>
              <w:lastRenderedPageBreak/>
              <w:t>Solution and Outcome of Alternative Vote</w:t>
            </w:r>
          </w:p>
        </w:tc>
        <w:tc>
          <w:tcPr>
            <w:tcW w:w="580" w:type="pct"/>
            <w:shd w:val="clear" w:color="auto" w:fill="3F0731"/>
            <w:hideMark/>
          </w:tcPr>
          <w:p w14:paraId="78882D2E" w14:textId="77777777" w:rsidR="00FA6104" w:rsidRPr="00D6668B" w:rsidRDefault="00FA6104">
            <w:pPr>
              <w:pStyle w:val="BodyText"/>
              <w:jc w:val="center"/>
              <w:cnfStyle w:val="100000000000" w:firstRow="1" w:lastRow="0" w:firstColumn="0" w:lastColumn="0" w:oddVBand="0" w:evenVBand="0" w:oddHBand="0" w:evenHBand="0" w:firstRowFirstColumn="0" w:firstRowLastColumn="0" w:lastRowFirstColumn="0" w:lastRowLastColumn="0"/>
              <w:rPr>
                <w:rFonts w:cs="Poppins"/>
                <w:b/>
                <w:i w:val="0"/>
                <w:iCs w:val="0"/>
                <w:color w:val="FFFFFF" w:themeColor="background1"/>
                <w:sz w:val="20"/>
              </w:rPr>
            </w:pPr>
            <w:r w:rsidRPr="00D6668B">
              <w:rPr>
                <w:rFonts w:cs="Poppins"/>
                <w:b/>
                <w:i w:val="0"/>
                <w:iCs w:val="0"/>
                <w:color w:val="FFFFFF" w:themeColor="background1"/>
                <w:sz w:val="20"/>
              </w:rPr>
              <w:t>Party</w:t>
            </w:r>
          </w:p>
        </w:tc>
        <w:tc>
          <w:tcPr>
            <w:tcW w:w="1778" w:type="pct"/>
            <w:shd w:val="clear" w:color="auto" w:fill="3F0731"/>
            <w:hideMark/>
          </w:tcPr>
          <w:p w14:paraId="1B3A3C0B" w14:textId="77777777" w:rsidR="00FA6104" w:rsidRPr="00D6668B" w:rsidRDefault="00FA6104">
            <w:pPr>
              <w:pStyle w:val="BodyText"/>
              <w:jc w:val="center"/>
              <w:cnfStyle w:val="100000000000" w:firstRow="1" w:lastRow="0" w:firstColumn="0" w:lastColumn="0" w:oddVBand="0" w:evenVBand="0" w:oddHBand="0" w:evenHBand="0" w:firstRowFirstColumn="0" w:firstRowLastColumn="0" w:lastRowFirstColumn="0" w:lastRowLastColumn="0"/>
              <w:rPr>
                <w:rFonts w:cs="Poppins"/>
                <w:b/>
                <w:i w:val="0"/>
                <w:iCs w:val="0"/>
                <w:color w:val="FFFFFF" w:themeColor="background1"/>
                <w:sz w:val="20"/>
              </w:rPr>
            </w:pPr>
            <w:r w:rsidRPr="00D6668B">
              <w:rPr>
                <w:rFonts w:cs="Poppins"/>
                <w:b/>
                <w:i w:val="0"/>
                <w:iCs w:val="0"/>
                <w:color w:val="FFFFFF" w:themeColor="background1"/>
                <w:sz w:val="20"/>
              </w:rPr>
              <w:t>Characteristic</w:t>
            </w:r>
          </w:p>
        </w:tc>
        <w:tc>
          <w:tcPr>
            <w:tcW w:w="1323" w:type="pct"/>
            <w:shd w:val="clear" w:color="auto" w:fill="3F0731"/>
            <w:hideMark/>
          </w:tcPr>
          <w:p w14:paraId="241E2F11" w14:textId="77777777" w:rsidR="00FA6104" w:rsidRPr="00D6668B" w:rsidRDefault="00FA6104">
            <w:pPr>
              <w:pStyle w:val="BodyText"/>
              <w:jc w:val="center"/>
              <w:cnfStyle w:val="100000000000" w:firstRow="1" w:lastRow="0" w:firstColumn="0" w:lastColumn="0" w:oddVBand="0" w:evenVBand="0" w:oddHBand="0" w:evenHBand="0" w:firstRowFirstColumn="0" w:firstRowLastColumn="0" w:lastRowFirstColumn="0" w:lastRowLastColumn="0"/>
              <w:rPr>
                <w:rFonts w:cs="Poppins"/>
                <w:b/>
                <w:i w:val="0"/>
                <w:iCs w:val="0"/>
                <w:color w:val="FFFFFF" w:themeColor="background1"/>
                <w:sz w:val="20"/>
              </w:rPr>
            </w:pPr>
            <w:r w:rsidRPr="00D6668B">
              <w:rPr>
                <w:rFonts w:cs="Poppins"/>
                <w:b/>
                <w:i w:val="0"/>
                <w:iCs w:val="0"/>
                <w:color w:val="FFFFFF" w:themeColor="background1"/>
                <w:sz w:val="20"/>
              </w:rPr>
              <w:t>Mechanism of Workgroup Vote</w:t>
            </w:r>
          </w:p>
        </w:tc>
      </w:tr>
      <w:tr w:rsidR="00DF6B87" w:rsidRPr="00C95537" w14:paraId="43500D7D" w14:textId="77777777" w:rsidTr="00754BE1">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1318" w:type="pct"/>
            <w:hideMark/>
          </w:tcPr>
          <w:p w14:paraId="68A63FE1" w14:textId="77777777" w:rsidR="0062109A" w:rsidRPr="00754BE1" w:rsidRDefault="00FA6104">
            <w:pPr>
              <w:pStyle w:val="BodyText"/>
              <w:jc w:val="left"/>
              <w:rPr>
                <w:rFonts w:cs="Poppins"/>
                <w:highlight w:val="yellow"/>
              </w:rPr>
            </w:pPr>
            <w:r w:rsidRPr="00754BE1">
              <w:rPr>
                <w:rFonts w:cs="Poppins"/>
                <w:i w:val="0"/>
                <w:iCs w:val="0"/>
                <w:sz w:val="20"/>
                <w:highlight w:val="yellow"/>
              </w:rPr>
              <w:t xml:space="preserve">Alternative Request 1 </w:t>
            </w:r>
          </w:p>
          <w:p w14:paraId="4CED98EB" w14:textId="2A01E634" w:rsidR="00FA6104" w:rsidRPr="00C95537" w:rsidRDefault="00FA6104">
            <w:pPr>
              <w:pStyle w:val="BodyText"/>
              <w:jc w:val="left"/>
              <w:rPr>
                <w:rFonts w:cs="Poppins"/>
                <w:i w:val="0"/>
                <w:iCs w:val="0"/>
                <w:sz w:val="20"/>
              </w:rPr>
            </w:pPr>
            <w:r w:rsidRPr="00754BE1">
              <w:rPr>
                <w:rFonts w:cs="Poppins"/>
                <w:b/>
                <w:bCs/>
                <w:i w:val="0"/>
                <w:iCs w:val="0"/>
                <w:sz w:val="20"/>
                <w:highlight w:val="yellow"/>
              </w:rPr>
              <w:t>(</w:t>
            </w:r>
            <w:r w:rsidR="006D57CE" w:rsidRPr="00754BE1">
              <w:rPr>
                <w:rFonts w:cs="Poppins"/>
                <w:b/>
                <w:bCs/>
                <w:i w:val="0"/>
                <w:iCs w:val="0"/>
                <w:sz w:val="20"/>
                <w:highlight w:val="yellow"/>
              </w:rPr>
              <w:t>WACMX</w:t>
            </w:r>
            <w:r w:rsidR="00754BE1" w:rsidRPr="00754BE1">
              <w:rPr>
                <w:rFonts w:cs="Poppins"/>
                <w:b/>
                <w:bCs/>
                <w:i w:val="0"/>
                <w:iCs w:val="0"/>
                <w:sz w:val="20"/>
                <w:highlight w:val="yellow"/>
              </w:rPr>
              <w:t>)</w:t>
            </w:r>
          </w:p>
        </w:tc>
        <w:tc>
          <w:tcPr>
            <w:tcW w:w="580" w:type="pct"/>
          </w:tcPr>
          <w:p w14:paraId="521044B7" w14:textId="77777777" w:rsidR="00FA6104" w:rsidRPr="00C95537" w:rsidRDefault="00FA6104">
            <w:pPr>
              <w:pStyle w:val="BodyText"/>
              <w:cnfStyle w:val="000000100000" w:firstRow="0" w:lastRow="0" w:firstColumn="0" w:lastColumn="0" w:oddVBand="0" w:evenVBand="0" w:oddHBand="1" w:evenHBand="0" w:firstRowFirstColumn="0" w:firstRowLastColumn="0" w:lastRowFirstColumn="0" w:lastRowLastColumn="0"/>
              <w:rPr>
                <w:rFonts w:cs="Poppins"/>
              </w:rPr>
            </w:pPr>
          </w:p>
        </w:tc>
        <w:tc>
          <w:tcPr>
            <w:tcW w:w="1778" w:type="pct"/>
          </w:tcPr>
          <w:p w14:paraId="5528F60C" w14:textId="77777777" w:rsidR="00FA6104" w:rsidRPr="00C95537" w:rsidRDefault="00FA6104">
            <w:pPr>
              <w:pStyle w:val="BodyText"/>
              <w:cnfStyle w:val="000000100000" w:firstRow="0" w:lastRow="0" w:firstColumn="0" w:lastColumn="0" w:oddVBand="0" w:evenVBand="0" w:oddHBand="1" w:evenHBand="0" w:firstRowFirstColumn="0" w:firstRowLastColumn="0" w:lastRowFirstColumn="0" w:lastRowLastColumn="0"/>
              <w:rPr>
                <w:rFonts w:cs="Poppins"/>
              </w:rPr>
            </w:pPr>
          </w:p>
        </w:tc>
        <w:tc>
          <w:tcPr>
            <w:tcW w:w="1323" w:type="pct"/>
            <w:hideMark/>
          </w:tcPr>
          <w:p w14:paraId="1F7414D6" w14:textId="01964304" w:rsidR="00FA6104" w:rsidRPr="00A71167" w:rsidRDefault="00FA6104">
            <w:pPr>
              <w:pStyle w:val="BodyText"/>
              <w:cnfStyle w:val="000000100000" w:firstRow="0" w:lastRow="0" w:firstColumn="0" w:lastColumn="0" w:oddVBand="0" w:evenVBand="0" w:oddHBand="1" w:evenHBand="0" w:firstRowFirstColumn="0" w:firstRowLastColumn="0" w:lastRowFirstColumn="0" w:lastRowLastColumn="0"/>
              <w:rPr>
                <w:rFonts w:cs="Poppins"/>
                <w:highlight w:val="yellow"/>
              </w:rPr>
            </w:pPr>
            <w:r w:rsidRPr="00A71167">
              <w:rPr>
                <w:rFonts w:cs="Poppins"/>
                <w:highlight w:val="yellow"/>
              </w:rPr>
              <w:t>Voted in by Workgroup</w:t>
            </w:r>
            <w:r w:rsidR="000D7CE9">
              <w:rPr>
                <w:rFonts w:cs="Poppins"/>
                <w:highlight w:val="yellow"/>
              </w:rPr>
              <w:t xml:space="preserve"> </w:t>
            </w:r>
            <w:r w:rsidR="008D1A3B" w:rsidRPr="00A71167">
              <w:rPr>
                <w:rFonts w:cs="Poppins"/>
                <w:highlight w:val="yellow"/>
              </w:rPr>
              <w:t>/ Not saved by the Workgroup Chair</w:t>
            </w:r>
            <w:r w:rsidR="000D7CE9">
              <w:rPr>
                <w:rFonts w:cs="Poppins"/>
                <w:highlight w:val="yellow"/>
              </w:rPr>
              <w:t xml:space="preserve"> </w:t>
            </w:r>
            <w:r w:rsidR="008D1A3B" w:rsidRPr="00A71167">
              <w:rPr>
                <w:rFonts w:cs="Poppins"/>
                <w:highlight w:val="yellow"/>
              </w:rPr>
              <w:t>/ Saved by the Workgroup Chair as may better facilitate the AO</w:t>
            </w:r>
          </w:p>
        </w:tc>
      </w:tr>
      <w:tr w:rsidR="00DF6B87" w:rsidRPr="00C95537" w14:paraId="1E70D7ED" w14:textId="77777777" w:rsidTr="00754BE1">
        <w:trPr>
          <w:trHeight w:val="417"/>
        </w:trPr>
        <w:tc>
          <w:tcPr>
            <w:cnfStyle w:val="001000000000" w:firstRow="0" w:lastRow="0" w:firstColumn="1" w:lastColumn="0" w:oddVBand="0" w:evenVBand="0" w:oddHBand="0" w:evenHBand="0" w:firstRowFirstColumn="0" w:firstRowLastColumn="0" w:lastRowFirstColumn="0" w:lastRowLastColumn="0"/>
            <w:tcW w:w="1318" w:type="pct"/>
          </w:tcPr>
          <w:p w14:paraId="712253A4" w14:textId="77777777" w:rsidR="00FA6104" w:rsidRPr="00754BE1" w:rsidRDefault="00FA6104">
            <w:pPr>
              <w:pStyle w:val="BodyText"/>
              <w:jc w:val="left"/>
              <w:rPr>
                <w:rFonts w:cs="Poppins"/>
                <w:highlight w:val="yellow"/>
              </w:rPr>
            </w:pPr>
            <w:r w:rsidRPr="00754BE1">
              <w:rPr>
                <w:rFonts w:cs="Poppins"/>
                <w:i w:val="0"/>
                <w:iCs w:val="0"/>
                <w:sz w:val="20"/>
                <w:highlight w:val="yellow"/>
              </w:rPr>
              <w:t>Alternative Request 2</w:t>
            </w:r>
          </w:p>
          <w:p w14:paraId="4CEFB59C" w14:textId="25E91446" w:rsidR="006D57CE" w:rsidRPr="00C95537" w:rsidRDefault="0062109A">
            <w:pPr>
              <w:pStyle w:val="BodyText"/>
              <w:jc w:val="left"/>
              <w:rPr>
                <w:rFonts w:cs="Poppins"/>
                <w:i w:val="0"/>
                <w:iCs w:val="0"/>
                <w:sz w:val="20"/>
              </w:rPr>
            </w:pPr>
            <w:r w:rsidRPr="00754BE1">
              <w:rPr>
                <w:rFonts w:cs="Poppins"/>
                <w:b/>
                <w:bCs/>
                <w:i w:val="0"/>
                <w:iCs w:val="0"/>
                <w:sz w:val="20"/>
                <w:highlight w:val="yellow"/>
              </w:rPr>
              <w:t>(WACMX)</w:t>
            </w:r>
          </w:p>
        </w:tc>
        <w:tc>
          <w:tcPr>
            <w:tcW w:w="580" w:type="pct"/>
          </w:tcPr>
          <w:p w14:paraId="23170567" w14:textId="77777777" w:rsidR="00FA6104" w:rsidRPr="00C95537" w:rsidRDefault="00FA6104">
            <w:pPr>
              <w:pStyle w:val="BodyText"/>
              <w:cnfStyle w:val="000000000000" w:firstRow="0" w:lastRow="0" w:firstColumn="0" w:lastColumn="0" w:oddVBand="0" w:evenVBand="0" w:oddHBand="0" w:evenHBand="0" w:firstRowFirstColumn="0" w:firstRowLastColumn="0" w:lastRowFirstColumn="0" w:lastRowLastColumn="0"/>
              <w:rPr>
                <w:rFonts w:cs="Poppins"/>
              </w:rPr>
            </w:pPr>
          </w:p>
        </w:tc>
        <w:tc>
          <w:tcPr>
            <w:tcW w:w="1778" w:type="pct"/>
          </w:tcPr>
          <w:p w14:paraId="45371131" w14:textId="77777777" w:rsidR="00FA6104" w:rsidRPr="00C95537" w:rsidRDefault="00FA6104">
            <w:pPr>
              <w:pStyle w:val="BodyText"/>
              <w:cnfStyle w:val="000000000000" w:firstRow="0" w:lastRow="0" w:firstColumn="0" w:lastColumn="0" w:oddVBand="0" w:evenVBand="0" w:oddHBand="0" w:evenHBand="0" w:firstRowFirstColumn="0" w:firstRowLastColumn="0" w:lastRowFirstColumn="0" w:lastRowLastColumn="0"/>
              <w:rPr>
                <w:rFonts w:cs="Poppins"/>
              </w:rPr>
            </w:pPr>
          </w:p>
        </w:tc>
        <w:tc>
          <w:tcPr>
            <w:tcW w:w="1323" w:type="pct"/>
          </w:tcPr>
          <w:p w14:paraId="6C9B574B" w14:textId="057649B7" w:rsidR="00FA6104" w:rsidRPr="00A71167" w:rsidRDefault="00C869D4">
            <w:pPr>
              <w:pStyle w:val="BodyText"/>
              <w:cnfStyle w:val="000000000000" w:firstRow="0" w:lastRow="0" w:firstColumn="0" w:lastColumn="0" w:oddVBand="0" w:evenVBand="0" w:oddHBand="0" w:evenHBand="0" w:firstRowFirstColumn="0" w:firstRowLastColumn="0" w:lastRowFirstColumn="0" w:lastRowLastColumn="0"/>
              <w:rPr>
                <w:rFonts w:cs="Poppins"/>
                <w:highlight w:val="yellow"/>
              </w:rPr>
            </w:pPr>
            <w:r w:rsidRPr="00A71167">
              <w:rPr>
                <w:rFonts w:cs="Poppins"/>
                <w:highlight w:val="yellow"/>
              </w:rPr>
              <w:t>Voted in by Workgroup</w:t>
            </w:r>
            <w:r w:rsidR="000D7CE9">
              <w:rPr>
                <w:rFonts w:cs="Poppins"/>
                <w:highlight w:val="yellow"/>
              </w:rPr>
              <w:t xml:space="preserve"> </w:t>
            </w:r>
            <w:r w:rsidRPr="00A71167">
              <w:rPr>
                <w:rFonts w:cs="Poppins"/>
                <w:highlight w:val="yellow"/>
              </w:rPr>
              <w:t>/ Not saved by the Workgroup Chair</w:t>
            </w:r>
            <w:r w:rsidR="000D7CE9">
              <w:rPr>
                <w:rFonts w:cs="Poppins"/>
                <w:highlight w:val="yellow"/>
              </w:rPr>
              <w:t xml:space="preserve"> </w:t>
            </w:r>
            <w:r w:rsidRPr="00A71167">
              <w:rPr>
                <w:rFonts w:cs="Poppins"/>
                <w:highlight w:val="yellow"/>
              </w:rPr>
              <w:t>/ Saved by the Workgroup Chair as may better facilitate the AO</w:t>
            </w:r>
          </w:p>
        </w:tc>
      </w:tr>
    </w:tbl>
    <w:p w14:paraId="0EE35A66" w14:textId="77777777" w:rsidR="00E10BCB" w:rsidRDefault="00E10BCB" w:rsidP="00E10BCB">
      <w:pPr>
        <w:pStyle w:val="BodyText"/>
      </w:pPr>
    </w:p>
    <w:p w14:paraId="430FB161" w14:textId="77777777" w:rsidR="006F4BEF" w:rsidRPr="00D6668B" w:rsidRDefault="001321F6" w:rsidP="006F4BEF">
      <w:pPr>
        <w:pStyle w:val="BodyText"/>
        <w:rPr>
          <w:rFonts w:cs="Poppins"/>
          <w:b/>
          <w:bCs/>
          <w:iCs/>
          <w:color w:val="auto"/>
          <w:kern w:val="2"/>
          <w:sz w:val="22"/>
          <w:szCs w:val="22"/>
          <w:highlight w:val="yellow"/>
          <w14:ligatures w14:val="standardContextual"/>
        </w:rPr>
      </w:pPr>
      <w:r w:rsidRPr="00D6668B">
        <w:rPr>
          <w:rFonts w:cs="Poppins"/>
          <w:b/>
          <w:bCs/>
          <w:iCs/>
          <w:color w:val="auto"/>
          <w:kern w:val="2"/>
          <w:sz w:val="22"/>
          <w:szCs w:val="22"/>
          <w:highlight w:val="yellow"/>
          <w14:ligatures w14:val="standardContextual"/>
        </w:rPr>
        <w:t>[</w:t>
      </w:r>
      <w:r w:rsidR="00364970" w:rsidRPr="00D6668B">
        <w:rPr>
          <w:rFonts w:cs="Poppins"/>
          <w:b/>
          <w:bCs/>
          <w:iCs/>
          <w:color w:val="auto"/>
          <w:kern w:val="2"/>
          <w:sz w:val="22"/>
          <w:szCs w:val="22"/>
          <w:highlight w:val="yellow"/>
          <w14:ligatures w14:val="standardContextual"/>
        </w:rPr>
        <w:t xml:space="preserve">Workgroup </w:t>
      </w:r>
      <w:r w:rsidRPr="00D6668B">
        <w:rPr>
          <w:rFonts w:cs="Poppins"/>
          <w:b/>
          <w:bCs/>
          <w:iCs/>
          <w:color w:val="auto"/>
          <w:kern w:val="2"/>
          <w:sz w:val="22"/>
          <w:szCs w:val="22"/>
          <w:highlight w:val="yellow"/>
          <w14:ligatures w14:val="standardContextual"/>
        </w:rPr>
        <w:t>Alternative Number]</w:t>
      </w:r>
      <w:r w:rsidR="006F4BEF" w:rsidRPr="00D6668B">
        <w:rPr>
          <w:rFonts w:cs="Poppins"/>
          <w:b/>
          <w:bCs/>
          <w:iCs/>
          <w:color w:val="auto"/>
          <w:kern w:val="2"/>
          <w:sz w:val="22"/>
          <w:szCs w:val="22"/>
          <w:highlight w:val="yellow"/>
          <w14:ligatures w14:val="standardContextual"/>
        </w:rPr>
        <w:t xml:space="preserve"> – </w:t>
      </w:r>
      <w:r w:rsidRPr="00D6668B">
        <w:rPr>
          <w:rFonts w:cs="Poppins"/>
          <w:b/>
          <w:bCs/>
          <w:iCs/>
          <w:color w:val="auto"/>
          <w:kern w:val="2"/>
          <w:sz w:val="22"/>
          <w:szCs w:val="22"/>
          <w:highlight w:val="yellow"/>
          <w14:ligatures w14:val="standardContextual"/>
        </w:rPr>
        <w:t>[Title]</w:t>
      </w:r>
    </w:p>
    <w:p w14:paraId="532BE53F" w14:textId="496751DE" w:rsidR="00C7637A" w:rsidRPr="00D6668B" w:rsidRDefault="006F4BEF" w:rsidP="0022267B">
      <w:pPr>
        <w:rPr>
          <w:rFonts w:ascii="Poppins" w:hAnsi="Poppins" w:cs="Poppins"/>
          <w:iCs/>
          <w:highlight w:val="yellow"/>
        </w:rPr>
      </w:pPr>
      <w:r w:rsidRPr="00D6668B">
        <w:rPr>
          <w:rFonts w:ascii="Poppins" w:hAnsi="Poppins" w:cs="Poppins"/>
          <w:iCs/>
          <w:color w:val="7A3864" w:themeColor="accent2"/>
          <w:highlight w:val="yellow"/>
        </w:rPr>
        <w:t>Overview:</w:t>
      </w:r>
      <w:r w:rsidRPr="00D6668B">
        <w:rPr>
          <w:rFonts w:cs="Poppins"/>
          <w:iCs/>
          <w:highlight w:val="yellow"/>
        </w:rPr>
        <w:t xml:space="preserve"> </w:t>
      </w:r>
      <w:r w:rsidR="00C7637A" w:rsidRPr="00D6668B">
        <w:rPr>
          <w:rFonts w:ascii="Poppins" w:hAnsi="Poppins" w:cs="Poppins"/>
          <w:iCs/>
          <w:highlight w:val="yellow"/>
        </w:rPr>
        <w:t>WACM</w:t>
      </w:r>
      <w:r w:rsidR="00777163" w:rsidRPr="00D6668B">
        <w:rPr>
          <w:rFonts w:ascii="Poppins" w:hAnsi="Poppins" w:cs="Poppins"/>
          <w:iCs/>
          <w:highlight w:val="yellow"/>
        </w:rPr>
        <w:t>1</w:t>
      </w:r>
      <w:r w:rsidR="00C7637A" w:rsidRPr="00D6668B">
        <w:rPr>
          <w:rFonts w:ascii="Poppins" w:hAnsi="Poppins" w:cs="Poppins"/>
          <w:iCs/>
          <w:highlight w:val="yellow"/>
        </w:rPr>
        <w:t xml:space="preserve"> proposes</w:t>
      </w:r>
      <w:r w:rsidR="0022267B" w:rsidRPr="00D6668B">
        <w:rPr>
          <w:rFonts w:ascii="Poppins" w:hAnsi="Poppins" w:cs="Poppins"/>
          <w:iCs/>
          <w:highlight w:val="yellow"/>
        </w:rPr>
        <w:t>…</w:t>
      </w:r>
    </w:p>
    <w:p w14:paraId="4EEAB580" w14:textId="0FD4A25D" w:rsidR="001B503E" w:rsidRPr="00777163" w:rsidRDefault="006F4BEF" w:rsidP="00412D40">
      <w:pPr>
        <w:pStyle w:val="BodyText"/>
        <w:rPr>
          <w:rFonts w:cs="Poppins"/>
          <w:color w:val="auto"/>
          <w:kern w:val="2"/>
          <w:sz w:val="24"/>
          <w:szCs w:val="24"/>
        </w:rPr>
      </w:pPr>
      <w:r w:rsidRPr="00D6668B">
        <w:rPr>
          <w:rFonts w:cs="Poppins"/>
          <w:iCs/>
          <w:color w:val="7A3864" w:themeColor="accent2"/>
          <w:kern w:val="2"/>
          <w:sz w:val="24"/>
          <w:szCs w:val="24"/>
          <w:highlight w:val="yellow"/>
          <w14:ligatures w14:val="standardContextual"/>
        </w:rPr>
        <w:t>Workgroup discussion:</w:t>
      </w:r>
      <w:r w:rsidRPr="00777163">
        <w:rPr>
          <w:rFonts w:cs="Poppins"/>
          <w:iCs/>
          <w:color w:val="7A3864" w:themeColor="accent2"/>
          <w:kern w:val="2"/>
          <w:sz w:val="24"/>
          <w:szCs w:val="24"/>
          <w14:ligatures w14:val="standardContextual"/>
        </w:rPr>
        <w:t xml:space="preserve"> </w:t>
      </w:r>
      <w:r w:rsidR="00D6668B">
        <w:rPr>
          <w:rFonts w:eastAsia="Arial" w:cs="Poppins"/>
          <w:iCs/>
          <w:kern w:val="3"/>
          <w:sz w:val="24"/>
          <w:szCs w:val="24"/>
          <w14:ligatures w14:val="standardContextual"/>
        </w:rPr>
        <w:t xml:space="preserve"> </w:t>
      </w:r>
    </w:p>
    <w:p w14:paraId="1D41CBF7" w14:textId="77777777" w:rsidR="00CB7504" w:rsidRDefault="00CB7504" w:rsidP="00FE386B">
      <w:pPr>
        <w:pStyle w:val="BodyText"/>
        <w:rPr>
          <w:rFonts w:cs="Poppins"/>
          <w:iCs/>
        </w:rPr>
      </w:pPr>
    </w:p>
    <w:p w14:paraId="003A7BC1" w14:textId="77777777" w:rsidR="001C5B91" w:rsidRPr="00866C2B" w:rsidRDefault="001C5B91" w:rsidP="001C5B91">
      <w:pPr>
        <w:spacing w:line="240" w:lineRule="auto"/>
        <w:jc w:val="both"/>
        <w:rPr>
          <w:rFonts w:ascii="Poppins" w:hAnsi="Poppins" w:cs="Poppins"/>
          <w:b/>
          <w:bCs/>
          <w:color w:val="3F0731"/>
        </w:rPr>
      </w:pPr>
      <w:r w:rsidRPr="00866C2B">
        <w:rPr>
          <w:rFonts w:ascii="Poppins" w:hAnsi="Poppins" w:cs="Poppins"/>
          <w:b/>
          <w:bCs/>
          <w:color w:val="3F0731"/>
        </w:rPr>
        <w:t>Consideration of other options</w:t>
      </w:r>
    </w:p>
    <w:p w14:paraId="47E61966" w14:textId="6F4C6C36" w:rsidR="001C5B91" w:rsidRPr="00D6668B" w:rsidRDefault="00D6668B" w:rsidP="00FE386B">
      <w:pPr>
        <w:pStyle w:val="BodyText"/>
        <w:rPr>
          <w:rFonts w:cs="Poppins"/>
          <w:iCs/>
          <w:sz w:val="24"/>
          <w:szCs w:val="24"/>
        </w:rPr>
      </w:pPr>
      <w:r w:rsidRPr="00D6668B">
        <w:rPr>
          <w:rFonts w:cs="Poppins"/>
          <w:iCs/>
          <w:highlight w:val="yellow"/>
        </w:rPr>
        <w:t>TBD</w:t>
      </w:r>
    </w:p>
    <w:p w14:paraId="61693006" w14:textId="77777777" w:rsidR="00506B86" w:rsidRPr="00506B86" w:rsidRDefault="00506B86" w:rsidP="00ED6BAC">
      <w:pPr>
        <w:pStyle w:val="Heading2"/>
        <w:rPr>
          <w:rFonts w:ascii="Poppins" w:hAnsi="Poppins" w:cs="Poppins"/>
          <w:color w:val="3F0731"/>
          <w:szCs w:val="28"/>
        </w:rPr>
      </w:pPr>
      <w:bookmarkStart w:id="30" w:name="_Toc207608723"/>
      <w:r w:rsidRPr="00506B86">
        <w:rPr>
          <w:rFonts w:ascii="Poppins" w:hAnsi="Poppins" w:cs="Poppins"/>
          <w:color w:val="3F0731"/>
          <w:szCs w:val="28"/>
        </w:rPr>
        <w:t>Terms of Reference Overview</w:t>
      </w:r>
      <w:bookmarkEnd w:id="30"/>
    </w:p>
    <w:tbl>
      <w:tblPr>
        <w:tblStyle w:val="TableGrid"/>
        <w:tblW w:w="0" w:type="auto"/>
        <w:tblLook w:val="04A0" w:firstRow="1" w:lastRow="0" w:firstColumn="1" w:lastColumn="0" w:noHBand="0" w:noVBand="1"/>
      </w:tblPr>
      <w:tblGrid>
        <w:gridCol w:w="9742"/>
      </w:tblGrid>
      <w:tr w:rsidR="00D85288" w14:paraId="645855C8" w14:textId="77777777" w:rsidTr="00143413">
        <w:tc>
          <w:tcPr>
            <w:tcW w:w="9742" w:type="dxa"/>
          </w:tcPr>
          <w:p w14:paraId="6CC88C36" w14:textId="77777777" w:rsidR="00084681" w:rsidRPr="00084681" w:rsidRDefault="00084681" w:rsidP="000D7CE9">
            <w:pPr>
              <w:pStyle w:val="ListParagraph"/>
              <w:numPr>
                <w:ilvl w:val="0"/>
                <w:numId w:val="29"/>
              </w:numPr>
              <w:spacing w:line="240" w:lineRule="auto"/>
              <w:rPr>
                <w:rFonts w:ascii="Poppins" w:hAnsi="Poppins" w:cs="Poppins"/>
              </w:rPr>
            </w:pPr>
            <w:r w:rsidRPr="00084681">
              <w:rPr>
                <w:rFonts w:ascii="Poppins" w:hAnsi="Poppins" w:cs="Poppins"/>
                <w:color w:val="7A3864" w:themeColor="accent2"/>
              </w:rPr>
              <w:t>Consider EBR implications</w:t>
            </w:r>
            <w:r w:rsidRPr="00084681">
              <w:rPr>
                <w:rFonts w:ascii="Poppins" w:hAnsi="Poppins" w:cs="Poppins"/>
                <w:color w:val="7A3864" w:themeColor="accent2"/>
              </w:rPr>
              <w:t xml:space="preserve"> </w:t>
            </w:r>
          </w:p>
          <w:p w14:paraId="71AF1227" w14:textId="13C8FCE8" w:rsidR="00280F2D" w:rsidRPr="00084681" w:rsidRDefault="00084681" w:rsidP="000D7CE9">
            <w:pPr>
              <w:spacing w:line="240" w:lineRule="auto"/>
              <w:rPr>
                <w:rFonts w:ascii="Poppins" w:hAnsi="Poppins" w:cs="Poppins"/>
              </w:rPr>
            </w:pPr>
            <w:r w:rsidRPr="00084681">
              <w:rPr>
                <w:rFonts w:ascii="Poppins" w:hAnsi="Poppins" w:cs="Poppins"/>
                <w:highlight w:val="yellow"/>
              </w:rPr>
              <w:t>[…]</w:t>
            </w:r>
          </w:p>
        </w:tc>
      </w:tr>
      <w:tr w:rsidR="00D85288" w14:paraId="25402749" w14:textId="77777777" w:rsidTr="00143413">
        <w:tc>
          <w:tcPr>
            <w:tcW w:w="9742" w:type="dxa"/>
          </w:tcPr>
          <w:p w14:paraId="2BDFBDFD" w14:textId="41365937" w:rsidR="00D85288" w:rsidRPr="00587E2A" w:rsidRDefault="00587E2A" w:rsidP="000D7CE9">
            <w:pPr>
              <w:pStyle w:val="ListParagraph"/>
              <w:numPr>
                <w:ilvl w:val="0"/>
                <w:numId w:val="29"/>
              </w:numPr>
              <w:spacing w:line="240" w:lineRule="auto"/>
              <w:rPr>
                <w:rFonts w:ascii="Poppins" w:hAnsi="Poppins" w:cs="Poppins"/>
              </w:rPr>
            </w:pPr>
            <w:r w:rsidRPr="00587E2A">
              <w:rPr>
                <w:rFonts w:ascii="Poppins" w:hAnsi="Poppins" w:cs="Poppins"/>
                <w:color w:val="7A3864" w:themeColor="accent2"/>
              </w:rPr>
              <w:t>Consider the development and interactions with any relevant DCUSA modifications when identifying a solution</w:t>
            </w:r>
          </w:p>
          <w:p w14:paraId="41884EB4" w14:textId="100BA145" w:rsidR="00657B18" w:rsidRPr="00657B18" w:rsidRDefault="000D7CE9" w:rsidP="000D7CE9">
            <w:pPr>
              <w:spacing w:line="240" w:lineRule="auto"/>
              <w:rPr>
                <w:rFonts w:ascii="Poppins" w:hAnsi="Poppins" w:cs="Poppins"/>
              </w:rPr>
            </w:pPr>
            <w:r w:rsidRPr="00084681">
              <w:rPr>
                <w:rFonts w:ascii="Poppins" w:hAnsi="Poppins" w:cs="Poppins"/>
                <w:highlight w:val="yellow"/>
              </w:rPr>
              <w:t>[…]</w:t>
            </w:r>
          </w:p>
        </w:tc>
      </w:tr>
      <w:tr w:rsidR="00D85288" w14:paraId="1A84FC7C" w14:textId="77777777" w:rsidTr="00143413">
        <w:tc>
          <w:tcPr>
            <w:tcW w:w="9742" w:type="dxa"/>
          </w:tcPr>
          <w:p w14:paraId="19D2DBE3" w14:textId="77777777" w:rsidR="00657B18" w:rsidRPr="006846BB" w:rsidRDefault="006846BB" w:rsidP="000D7CE9">
            <w:pPr>
              <w:pStyle w:val="ListParagraph"/>
              <w:numPr>
                <w:ilvl w:val="0"/>
                <w:numId w:val="29"/>
              </w:numPr>
              <w:spacing w:line="240" w:lineRule="auto"/>
              <w:rPr>
                <w:rFonts w:ascii="Poppins" w:hAnsi="Poppins" w:cs="Poppins"/>
              </w:rPr>
            </w:pPr>
            <w:r w:rsidRPr="006846BB">
              <w:rPr>
                <w:rFonts w:ascii="Poppins" w:hAnsi="Poppins" w:cs="Poppins"/>
                <w:color w:val="7A3864" w:themeColor="accent2"/>
              </w:rPr>
              <w:t>Consider coordination with TOs to revise construction agreements</w:t>
            </w:r>
          </w:p>
          <w:p w14:paraId="2A83BA0B" w14:textId="293681A0" w:rsidR="006846BB" w:rsidRPr="006846BB" w:rsidRDefault="000D7CE9" w:rsidP="000D7CE9">
            <w:pPr>
              <w:spacing w:line="240" w:lineRule="auto"/>
              <w:rPr>
                <w:rFonts w:ascii="Poppins" w:hAnsi="Poppins" w:cs="Poppins"/>
              </w:rPr>
            </w:pPr>
            <w:r w:rsidRPr="00084681">
              <w:rPr>
                <w:rFonts w:ascii="Poppins" w:hAnsi="Poppins" w:cs="Poppins"/>
                <w:highlight w:val="yellow"/>
              </w:rPr>
              <w:t>[…]</w:t>
            </w:r>
          </w:p>
        </w:tc>
      </w:tr>
      <w:tr w:rsidR="00D85288" w14:paraId="60227AFD" w14:textId="77777777" w:rsidTr="00143413">
        <w:tc>
          <w:tcPr>
            <w:tcW w:w="9742" w:type="dxa"/>
          </w:tcPr>
          <w:p w14:paraId="5FD3F524" w14:textId="5C421180" w:rsidR="00657B18" w:rsidRPr="00143413" w:rsidRDefault="006846BB" w:rsidP="000D7CE9">
            <w:pPr>
              <w:pStyle w:val="ListParagraph"/>
              <w:numPr>
                <w:ilvl w:val="0"/>
                <w:numId w:val="29"/>
              </w:numPr>
              <w:spacing w:line="240" w:lineRule="auto"/>
              <w:rPr>
                <w:rFonts w:ascii="Poppins" w:hAnsi="Poppins" w:cs="Poppins"/>
              </w:rPr>
            </w:pPr>
            <w:r w:rsidRPr="006846BB">
              <w:rPr>
                <w:rFonts w:ascii="Poppins" w:hAnsi="Poppins" w:cs="Poppins"/>
                <w:color w:val="7A3864" w:themeColor="accent2"/>
              </w:rPr>
              <w:lastRenderedPageBreak/>
              <w:t>Consider alignment with end-to</w:t>
            </w:r>
            <w:r w:rsidR="00143413">
              <w:rPr>
                <w:rFonts w:ascii="Poppins" w:hAnsi="Poppins" w:cs="Poppins"/>
                <w:color w:val="7A3864" w:themeColor="accent2"/>
              </w:rPr>
              <w:t xml:space="preserve"> </w:t>
            </w:r>
            <w:r w:rsidRPr="006846BB">
              <w:rPr>
                <w:rFonts w:ascii="Poppins" w:hAnsi="Poppins" w:cs="Poppins"/>
                <w:color w:val="7A3864" w:themeColor="accent2"/>
              </w:rPr>
              <w:t>end connections review</w:t>
            </w:r>
          </w:p>
          <w:p w14:paraId="1EC0A910" w14:textId="2B179B63" w:rsidR="00143413" w:rsidRPr="00143413" w:rsidRDefault="000D7CE9" w:rsidP="000D7CE9">
            <w:pPr>
              <w:spacing w:line="240" w:lineRule="auto"/>
              <w:rPr>
                <w:rFonts w:ascii="Poppins" w:hAnsi="Poppins" w:cs="Poppins"/>
              </w:rPr>
            </w:pPr>
            <w:r w:rsidRPr="00084681">
              <w:rPr>
                <w:rFonts w:ascii="Poppins" w:hAnsi="Poppins" w:cs="Poppins"/>
                <w:highlight w:val="yellow"/>
              </w:rPr>
              <w:t>[…]</w:t>
            </w:r>
          </w:p>
        </w:tc>
      </w:tr>
      <w:tr w:rsidR="00060201" w14:paraId="4E3A6B68" w14:textId="77777777" w:rsidTr="00143413">
        <w:tc>
          <w:tcPr>
            <w:tcW w:w="9742" w:type="dxa"/>
          </w:tcPr>
          <w:p w14:paraId="1E3A790F" w14:textId="77777777" w:rsidR="00060201" w:rsidRDefault="00143413" w:rsidP="000D7CE9">
            <w:pPr>
              <w:pStyle w:val="ListParagraph"/>
              <w:numPr>
                <w:ilvl w:val="0"/>
                <w:numId w:val="29"/>
              </w:numPr>
              <w:spacing w:line="240" w:lineRule="auto"/>
              <w:rPr>
                <w:rFonts w:ascii="Poppins" w:hAnsi="Poppins" w:cs="Poppins"/>
                <w:color w:val="7A3864" w:themeColor="accent2"/>
              </w:rPr>
            </w:pPr>
            <w:r w:rsidRPr="00143413">
              <w:rPr>
                <w:rFonts w:ascii="Poppins" w:hAnsi="Poppins" w:cs="Poppins"/>
                <w:color w:val="7A3864" w:themeColor="accent2"/>
              </w:rPr>
              <w:t>Consider alignment with the wider regulatory reforms for network charging</w:t>
            </w:r>
          </w:p>
          <w:p w14:paraId="6C2122A1" w14:textId="43B0EAA6" w:rsidR="00947359" w:rsidRPr="00947359" w:rsidRDefault="000D7CE9" w:rsidP="000D7CE9">
            <w:pPr>
              <w:spacing w:line="240" w:lineRule="auto"/>
              <w:rPr>
                <w:rFonts w:ascii="Poppins" w:hAnsi="Poppins" w:cs="Poppins"/>
                <w:color w:val="7A3864" w:themeColor="accent2"/>
              </w:rPr>
            </w:pPr>
            <w:r w:rsidRPr="00084681">
              <w:rPr>
                <w:rFonts w:ascii="Poppins" w:hAnsi="Poppins" w:cs="Poppins"/>
                <w:highlight w:val="yellow"/>
              </w:rPr>
              <w:t>[…]</w:t>
            </w:r>
          </w:p>
        </w:tc>
      </w:tr>
      <w:tr w:rsidR="00060201" w14:paraId="46856995" w14:textId="77777777" w:rsidTr="00143413">
        <w:tc>
          <w:tcPr>
            <w:tcW w:w="9742" w:type="dxa"/>
          </w:tcPr>
          <w:p w14:paraId="77B09B90" w14:textId="77777777" w:rsidR="00060201" w:rsidRDefault="00947359" w:rsidP="000D7CE9">
            <w:pPr>
              <w:pStyle w:val="ListParagraph"/>
              <w:numPr>
                <w:ilvl w:val="0"/>
                <w:numId w:val="29"/>
              </w:numPr>
              <w:spacing w:line="240" w:lineRule="auto"/>
              <w:rPr>
                <w:rFonts w:ascii="Poppins" w:hAnsi="Poppins" w:cs="Poppins"/>
                <w:color w:val="7A3864" w:themeColor="accent2"/>
              </w:rPr>
            </w:pPr>
            <w:r w:rsidRPr="00947359">
              <w:rPr>
                <w:rFonts w:ascii="Poppins" w:hAnsi="Poppins" w:cs="Poppins"/>
                <w:color w:val="7A3864" w:themeColor="accent2"/>
              </w:rPr>
              <w:t>Consider the interaction with distribution and transmission business plans</w:t>
            </w:r>
          </w:p>
          <w:p w14:paraId="0D490D06" w14:textId="7526B94B" w:rsidR="00947359" w:rsidRPr="00947359" w:rsidRDefault="000D7CE9" w:rsidP="000D7CE9">
            <w:pPr>
              <w:spacing w:line="240" w:lineRule="auto"/>
              <w:rPr>
                <w:rFonts w:ascii="Poppins" w:hAnsi="Poppins" w:cs="Poppins"/>
                <w:color w:val="7A3864" w:themeColor="accent2"/>
              </w:rPr>
            </w:pPr>
            <w:r w:rsidRPr="00084681">
              <w:rPr>
                <w:rFonts w:ascii="Poppins" w:hAnsi="Poppins" w:cs="Poppins"/>
                <w:highlight w:val="yellow"/>
              </w:rPr>
              <w:t>[…]</w:t>
            </w:r>
          </w:p>
        </w:tc>
      </w:tr>
      <w:tr w:rsidR="00060201" w14:paraId="510AF6ED" w14:textId="77777777" w:rsidTr="00143413">
        <w:tc>
          <w:tcPr>
            <w:tcW w:w="9742" w:type="dxa"/>
          </w:tcPr>
          <w:p w14:paraId="31014643" w14:textId="237B9188" w:rsidR="00060201" w:rsidRDefault="00947359" w:rsidP="000D7CE9">
            <w:pPr>
              <w:pStyle w:val="ListParagraph"/>
              <w:numPr>
                <w:ilvl w:val="0"/>
                <w:numId w:val="29"/>
              </w:numPr>
              <w:spacing w:line="240" w:lineRule="auto"/>
              <w:rPr>
                <w:rFonts w:ascii="Poppins" w:hAnsi="Poppins" w:cs="Poppins"/>
                <w:color w:val="7A3864" w:themeColor="accent2"/>
              </w:rPr>
            </w:pPr>
            <w:r w:rsidRPr="00947359">
              <w:rPr>
                <w:rFonts w:ascii="Poppins" w:hAnsi="Poppins" w:cs="Poppins"/>
                <w:color w:val="7A3864" w:themeColor="accent2"/>
              </w:rPr>
              <w:t>Consider the incentives for Users</w:t>
            </w:r>
            <w:r w:rsidRPr="00947359">
              <w:rPr>
                <w:rFonts w:ascii="Poppins" w:hAnsi="Poppins" w:cs="Poppins"/>
                <w:color w:val="7A3864" w:themeColor="accent2"/>
              </w:rPr>
              <w:t xml:space="preserve"> </w:t>
            </w:r>
            <w:r w:rsidRPr="00947359">
              <w:rPr>
                <w:rFonts w:ascii="Poppins" w:hAnsi="Poppins" w:cs="Poppins"/>
                <w:color w:val="7A3864" w:themeColor="accent2"/>
              </w:rPr>
              <w:t xml:space="preserve">to invest efficiently, in particular with </w:t>
            </w:r>
            <w:r>
              <w:rPr>
                <w:rFonts w:ascii="Poppins" w:hAnsi="Poppins" w:cs="Poppins"/>
                <w:color w:val="7A3864" w:themeColor="accent2"/>
              </w:rPr>
              <w:t>regard t</w:t>
            </w:r>
            <w:r w:rsidRPr="00947359">
              <w:rPr>
                <w:rFonts w:ascii="Poppins" w:hAnsi="Poppins" w:cs="Poppins"/>
                <w:color w:val="7A3864" w:themeColor="accent2"/>
              </w:rPr>
              <w:t>o the cost signals provided to Users from the charging methodology</w:t>
            </w:r>
          </w:p>
          <w:p w14:paraId="660B0D52" w14:textId="699F6E07" w:rsidR="00947359" w:rsidRPr="00947359" w:rsidRDefault="000D7CE9" w:rsidP="000D7CE9">
            <w:pPr>
              <w:spacing w:line="240" w:lineRule="auto"/>
              <w:rPr>
                <w:rFonts w:ascii="Poppins" w:hAnsi="Poppins" w:cs="Poppins"/>
                <w:color w:val="7A3864" w:themeColor="accent2"/>
              </w:rPr>
            </w:pPr>
            <w:r w:rsidRPr="00084681">
              <w:rPr>
                <w:rFonts w:ascii="Poppins" w:hAnsi="Poppins" w:cs="Poppins"/>
                <w:highlight w:val="yellow"/>
              </w:rPr>
              <w:t>[…]</w:t>
            </w:r>
          </w:p>
        </w:tc>
      </w:tr>
      <w:tr w:rsidR="00060201" w14:paraId="521649EA" w14:textId="77777777" w:rsidTr="00143413">
        <w:tc>
          <w:tcPr>
            <w:tcW w:w="9742" w:type="dxa"/>
          </w:tcPr>
          <w:p w14:paraId="2990D3B4" w14:textId="568AD25D" w:rsidR="00060201" w:rsidRDefault="000D7CE9" w:rsidP="000D7CE9">
            <w:pPr>
              <w:pStyle w:val="ListParagraph"/>
              <w:numPr>
                <w:ilvl w:val="0"/>
                <w:numId w:val="29"/>
              </w:numPr>
              <w:spacing w:line="240" w:lineRule="auto"/>
              <w:rPr>
                <w:rFonts w:ascii="Poppins" w:hAnsi="Poppins" w:cs="Poppins"/>
                <w:color w:val="7A3864" w:themeColor="accent2"/>
              </w:rPr>
            </w:pPr>
            <w:r w:rsidRPr="000D7CE9">
              <w:rPr>
                <w:rFonts w:ascii="Poppins" w:hAnsi="Poppins" w:cs="Poppins"/>
                <w:color w:val="7A3864" w:themeColor="accent2"/>
              </w:rPr>
              <w:t>Consider the impacts of socialised costs on consumers and other parties</w:t>
            </w:r>
          </w:p>
          <w:p w14:paraId="6FE8D3E7" w14:textId="244CDF15" w:rsidR="000D7CE9" w:rsidRPr="000D7CE9" w:rsidRDefault="000D7CE9" w:rsidP="000D7CE9">
            <w:pPr>
              <w:spacing w:line="240" w:lineRule="auto"/>
              <w:rPr>
                <w:rFonts w:ascii="Poppins" w:hAnsi="Poppins" w:cs="Poppins"/>
                <w:color w:val="7A3864" w:themeColor="accent2"/>
              </w:rPr>
            </w:pPr>
            <w:r w:rsidRPr="00084681">
              <w:rPr>
                <w:rFonts w:ascii="Poppins" w:hAnsi="Poppins" w:cs="Poppins"/>
                <w:highlight w:val="yellow"/>
              </w:rPr>
              <w:t>[…]</w:t>
            </w:r>
          </w:p>
        </w:tc>
      </w:tr>
    </w:tbl>
    <w:p w14:paraId="6387DFA1" w14:textId="77777777" w:rsidR="00EB1CB8" w:rsidRPr="00650BE9" w:rsidRDefault="00EB1CB8" w:rsidP="005D6DA1">
      <w:pPr>
        <w:pStyle w:val="ListParagraph"/>
        <w:keepLines/>
        <w:widowControl w:val="0"/>
        <w:tabs>
          <w:tab w:val="left" w:pos="1418"/>
        </w:tabs>
        <w:spacing w:line="264" w:lineRule="auto"/>
        <w:ind w:left="0"/>
        <w:rPr>
          <w:rFonts w:ascii="Poppins" w:hAnsi="Poppins" w:cs="Poppins"/>
          <w:color w:val="FF0000"/>
        </w:rPr>
      </w:pPr>
    </w:p>
    <w:p w14:paraId="6E9B1CF2" w14:textId="77777777" w:rsidR="00CA0621" w:rsidRPr="00DE2E99" w:rsidRDefault="00CA0621" w:rsidP="00CA0621">
      <w:pPr>
        <w:pStyle w:val="CA6"/>
        <w:shd w:val="clear" w:color="auto" w:fill="3F0731"/>
        <w:rPr>
          <w:rFonts w:ascii="Poppins" w:hAnsi="Poppins" w:cs="Poppins"/>
        </w:rPr>
      </w:pPr>
      <w:bookmarkStart w:id="31" w:name="_Toc207608724"/>
      <w:r w:rsidRPr="00DE2E99">
        <w:rPr>
          <w:rFonts w:ascii="Poppins" w:hAnsi="Poppins" w:cs="Poppins"/>
        </w:rPr>
        <w:t>What is the impact of this change?</w:t>
      </w:r>
      <w:bookmarkEnd w:id="31"/>
    </w:p>
    <w:p w14:paraId="32EC9A5E" w14:textId="77777777" w:rsidR="00511BFF" w:rsidRPr="00511BFF" w:rsidRDefault="00511BFF" w:rsidP="00511BFF">
      <w:pPr>
        <w:tabs>
          <w:tab w:val="left" w:pos="2820"/>
        </w:tabs>
        <w:spacing w:line="240" w:lineRule="auto"/>
        <w:rPr>
          <w:rFonts w:ascii="Poppins" w:hAnsi="Poppins" w:cs="Poppins"/>
        </w:rPr>
      </w:pPr>
      <w:bookmarkStart w:id="32" w:name="_Toc207608725"/>
      <w:r w:rsidRPr="00511BFF">
        <w:rPr>
          <w:rFonts w:ascii="Poppins" w:hAnsi="Poppins" w:cs="Poppins"/>
        </w:rPr>
        <w:t xml:space="preserve">Improving the transmission Connection Asset charging framework will impact many parties across the energy sector. While the proposal introduces a shift in cost allocation, it is designed to deliver long-term benefits by removing investment barriers, improving regional equity, and aligning transmission charging with distribution charging. </w:t>
      </w:r>
    </w:p>
    <w:p w14:paraId="39EAD5A0" w14:textId="77777777" w:rsidR="00511BFF" w:rsidRPr="00511BFF" w:rsidRDefault="00511BFF" w:rsidP="00511BFF">
      <w:pPr>
        <w:tabs>
          <w:tab w:val="left" w:pos="2820"/>
        </w:tabs>
        <w:spacing w:line="240" w:lineRule="auto"/>
        <w:rPr>
          <w:rFonts w:ascii="Poppins" w:hAnsi="Poppins" w:cs="Poppins"/>
          <w:b/>
        </w:rPr>
      </w:pPr>
      <w:r w:rsidRPr="00511BFF">
        <w:rPr>
          <w:rFonts w:ascii="Poppins" w:hAnsi="Poppins" w:cs="Poppins"/>
          <w:b/>
        </w:rPr>
        <w:t xml:space="preserve">Embedded Generators </w:t>
      </w:r>
    </w:p>
    <w:p w14:paraId="01122DED" w14:textId="77777777" w:rsidR="00511BFF" w:rsidRPr="00511BFF" w:rsidRDefault="00511BFF" w:rsidP="00511BFF">
      <w:pPr>
        <w:tabs>
          <w:tab w:val="left" w:pos="2820"/>
        </w:tabs>
        <w:spacing w:line="240" w:lineRule="auto"/>
        <w:rPr>
          <w:rFonts w:ascii="Poppins" w:hAnsi="Poppins" w:cs="Poppins"/>
        </w:rPr>
      </w:pPr>
      <w:r w:rsidRPr="00511BFF">
        <w:rPr>
          <w:rFonts w:ascii="Poppins" w:hAnsi="Poppins" w:cs="Poppins"/>
        </w:rPr>
        <w:t xml:space="preserve">Embedded Generators, particularly low-carbon and community-led projects, stand to benefit significantly. Under current arrangements, they face unpredictable and often prohibitive costs when triggering transmission reinforcement at GSPs. By introducing socialised or apportioned cost mechanisms, the proposal reduces financial risk, improves transparency, and enables more equitable access to the grid. This will accelerate the deployment of renewables and support the UK’s net-zero targets. </w:t>
      </w:r>
    </w:p>
    <w:p w14:paraId="3178858F" w14:textId="77777777" w:rsidR="00511BFF" w:rsidRPr="00511BFF" w:rsidRDefault="00511BFF" w:rsidP="00511BFF">
      <w:pPr>
        <w:tabs>
          <w:tab w:val="left" w:pos="2820"/>
        </w:tabs>
        <w:spacing w:line="240" w:lineRule="auto"/>
        <w:ind w:left="-75" w:firstLine="75"/>
        <w:rPr>
          <w:rFonts w:ascii="Poppins" w:hAnsi="Poppins" w:cs="Poppins"/>
          <w:b/>
        </w:rPr>
      </w:pPr>
      <w:r w:rsidRPr="00511BFF">
        <w:rPr>
          <w:rFonts w:ascii="Poppins" w:hAnsi="Poppins" w:cs="Poppins"/>
          <w:b/>
        </w:rPr>
        <w:lastRenderedPageBreak/>
        <w:t>Embedded Demand Customers</w:t>
      </w:r>
    </w:p>
    <w:p w14:paraId="77A89C15" w14:textId="77777777" w:rsidR="00511BFF" w:rsidRPr="00511BFF" w:rsidRDefault="00511BFF" w:rsidP="00511BFF">
      <w:pPr>
        <w:tabs>
          <w:tab w:val="left" w:pos="2820"/>
        </w:tabs>
        <w:spacing w:line="240" w:lineRule="auto"/>
        <w:rPr>
          <w:rFonts w:ascii="Poppins" w:hAnsi="Poppins" w:cs="Poppins"/>
        </w:rPr>
      </w:pPr>
      <w:r w:rsidRPr="00511BFF">
        <w:rPr>
          <w:rFonts w:ascii="Poppins" w:hAnsi="Poppins" w:cs="Poppins"/>
        </w:rPr>
        <w:t>Large-scale Demand customers connected via distribution networks face uncertainty when their load growth triggers transmission upgrades. With no clear framework for cost recovery or apportionment, they may be exposed to full reinforcement costs, despite benefiting from shared infrastructure. The proposed changes will introduce predictability and fairness, allowing demand customers to only pay for what they use, and plan growth with greater confidence. Socialisation may shift some cost recovery to the wider consumer base, and Demand customers may have an increase in network charges.</w:t>
      </w:r>
    </w:p>
    <w:p w14:paraId="1A78D4DE" w14:textId="77777777" w:rsidR="00511BFF" w:rsidRPr="00511BFF" w:rsidRDefault="00511BFF" w:rsidP="00511BFF">
      <w:pPr>
        <w:tabs>
          <w:tab w:val="left" w:pos="2820"/>
        </w:tabs>
        <w:spacing w:line="240" w:lineRule="auto"/>
        <w:rPr>
          <w:rFonts w:ascii="Poppins" w:hAnsi="Poppins" w:cs="Poppins"/>
          <w:b/>
        </w:rPr>
      </w:pPr>
      <w:r w:rsidRPr="00511BFF">
        <w:rPr>
          <w:rFonts w:ascii="Poppins" w:hAnsi="Poppins" w:cs="Poppins"/>
          <w:b/>
        </w:rPr>
        <w:t>Non-embedded Demand Users</w:t>
      </w:r>
    </w:p>
    <w:p w14:paraId="288B14DA" w14:textId="77777777" w:rsidR="00511BFF" w:rsidRPr="00511BFF" w:rsidRDefault="00511BFF" w:rsidP="00511BFF">
      <w:pPr>
        <w:tabs>
          <w:tab w:val="left" w:pos="2820"/>
        </w:tabs>
        <w:spacing w:line="240" w:lineRule="auto"/>
        <w:rPr>
          <w:rFonts w:ascii="Poppins" w:hAnsi="Poppins" w:cs="Poppins"/>
          <w:b/>
        </w:rPr>
      </w:pPr>
      <w:r w:rsidRPr="00511BFF">
        <w:rPr>
          <w:rFonts w:ascii="Poppins" w:hAnsi="Poppins" w:cs="Poppins"/>
        </w:rPr>
        <w:t xml:space="preserve">Large-scale Demand customers connected via transmission networks face uncertainty when their load growth triggers transmission upgrades. With no clear framework for cost recovery or apportionment, they may be exposed to full reinforcement costs, despite benefiting from shared infrastructure. The proposed changes will introduce predictability and fairness, allowing Demand customers to only pay for what they use, and plan growth with greater confidence. </w:t>
      </w:r>
    </w:p>
    <w:p w14:paraId="7AABBE9E" w14:textId="77777777" w:rsidR="00511BFF" w:rsidRPr="00511BFF" w:rsidRDefault="00511BFF" w:rsidP="00511BFF">
      <w:pPr>
        <w:tabs>
          <w:tab w:val="left" w:pos="2820"/>
        </w:tabs>
        <w:spacing w:line="240" w:lineRule="auto"/>
        <w:rPr>
          <w:rFonts w:ascii="Poppins" w:hAnsi="Poppins" w:cs="Poppins"/>
        </w:rPr>
      </w:pPr>
      <w:r w:rsidRPr="00511BFF">
        <w:rPr>
          <w:rFonts w:ascii="Poppins" w:hAnsi="Poppins" w:cs="Poppins"/>
        </w:rPr>
        <w:t xml:space="preserve">Socialisation may shift some cost recovery to the wider consumer base, and Demand customers may have an increase in network charges. </w:t>
      </w:r>
    </w:p>
    <w:p w14:paraId="29BCA1EB" w14:textId="77777777" w:rsidR="00511BFF" w:rsidRPr="00511BFF" w:rsidRDefault="00511BFF" w:rsidP="00511BFF">
      <w:pPr>
        <w:tabs>
          <w:tab w:val="left" w:pos="2820"/>
        </w:tabs>
        <w:spacing w:line="240" w:lineRule="auto"/>
        <w:rPr>
          <w:rFonts w:ascii="Poppins" w:hAnsi="Poppins" w:cs="Poppins"/>
          <w:b/>
        </w:rPr>
      </w:pPr>
      <w:r w:rsidRPr="00511BFF">
        <w:rPr>
          <w:rFonts w:ascii="Poppins" w:hAnsi="Poppins" w:cs="Poppins"/>
          <w:b/>
        </w:rPr>
        <w:t xml:space="preserve">Distribution Network Owners </w:t>
      </w:r>
    </w:p>
    <w:p w14:paraId="449C8B37" w14:textId="77777777" w:rsidR="00511BFF" w:rsidRPr="00511BFF" w:rsidRDefault="00511BFF" w:rsidP="00511BFF">
      <w:pPr>
        <w:tabs>
          <w:tab w:val="left" w:pos="2820"/>
        </w:tabs>
        <w:spacing w:line="240" w:lineRule="auto"/>
        <w:rPr>
          <w:rFonts w:ascii="Poppins" w:hAnsi="Poppins" w:cs="Poppins"/>
        </w:rPr>
      </w:pPr>
      <w:r w:rsidRPr="00511BFF">
        <w:rPr>
          <w:rFonts w:ascii="Poppins" w:hAnsi="Poppins" w:cs="Poppins"/>
        </w:rPr>
        <w:t xml:space="preserve">DNOs absorb the full cost of Transmission Reinforcement classified as Connection Assets, without a well-defined regulated mechanism to pass these costs through to customers. This creates financial exposure and operational uncertainty, particularly when reinforcement is strategic or benefits multiple Users. The Proposal offers DNOs a clearer framework for cost recovery—whether via Distribution Use of System (DUoS), TNUoS, or a hybrid model—and enables better coordination with TOs and NESO. It also supports the development of flexibility markets and non-physical alternatives. </w:t>
      </w:r>
    </w:p>
    <w:p w14:paraId="44958476" w14:textId="77777777" w:rsidR="00511BFF" w:rsidRPr="00511BFF" w:rsidRDefault="00511BFF" w:rsidP="00511BFF">
      <w:pPr>
        <w:tabs>
          <w:tab w:val="left" w:pos="2820"/>
        </w:tabs>
        <w:spacing w:line="240" w:lineRule="auto"/>
        <w:rPr>
          <w:rFonts w:ascii="Poppins" w:hAnsi="Poppins" w:cs="Poppins"/>
          <w:b/>
        </w:rPr>
      </w:pPr>
      <w:r w:rsidRPr="00511BFF">
        <w:rPr>
          <w:rFonts w:ascii="Poppins" w:hAnsi="Poppins" w:cs="Poppins"/>
          <w:b/>
        </w:rPr>
        <w:t xml:space="preserve">Transmission Owners </w:t>
      </w:r>
    </w:p>
    <w:p w14:paraId="370787A6" w14:textId="77777777" w:rsidR="00511BFF" w:rsidRPr="00511BFF" w:rsidRDefault="00511BFF" w:rsidP="00511BFF">
      <w:pPr>
        <w:tabs>
          <w:tab w:val="left" w:pos="2820"/>
        </w:tabs>
        <w:spacing w:line="240" w:lineRule="auto"/>
        <w:rPr>
          <w:rFonts w:ascii="Poppins" w:hAnsi="Poppins" w:cs="Poppins"/>
        </w:rPr>
      </w:pPr>
      <w:r w:rsidRPr="00511BFF">
        <w:rPr>
          <w:rFonts w:ascii="Poppins" w:hAnsi="Poppins" w:cs="Poppins"/>
        </w:rPr>
        <w:t>For TOs, the proposal introduces a more strategic and coordinated approach to reinforcement planning. TOs can invest in shared assets with greater certainty and reduced administrative complexity. The Proposal also encourages earlier engagement with DNOs and embedded customers</w:t>
      </w:r>
    </w:p>
    <w:p w14:paraId="36EBAA8C" w14:textId="77777777" w:rsidR="00511BFF" w:rsidRPr="00511BFF" w:rsidRDefault="00511BFF" w:rsidP="00511BFF">
      <w:pPr>
        <w:tabs>
          <w:tab w:val="left" w:pos="2820"/>
        </w:tabs>
        <w:spacing w:line="240" w:lineRule="auto"/>
        <w:rPr>
          <w:rFonts w:ascii="Poppins" w:hAnsi="Poppins" w:cs="Poppins"/>
          <w:b/>
        </w:rPr>
      </w:pPr>
      <w:r w:rsidRPr="00511BFF">
        <w:rPr>
          <w:rFonts w:ascii="Poppins" w:hAnsi="Poppins" w:cs="Poppins"/>
          <w:b/>
        </w:rPr>
        <w:lastRenderedPageBreak/>
        <w:t>Consumers</w:t>
      </w:r>
    </w:p>
    <w:p w14:paraId="09FA7C07" w14:textId="77777777" w:rsidR="00511BFF" w:rsidRPr="00511BFF" w:rsidRDefault="00511BFF" w:rsidP="00511BFF">
      <w:pPr>
        <w:tabs>
          <w:tab w:val="left" w:pos="2820"/>
        </w:tabs>
        <w:spacing w:line="240" w:lineRule="auto"/>
        <w:rPr>
          <w:rFonts w:ascii="Poppins" w:hAnsi="Poppins" w:cs="Poppins"/>
        </w:rPr>
      </w:pPr>
      <w:r w:rsidRPr="00511BFF">
        <w:rPr>
          <w:rFonts w:ascii="Poppins" w:hAnsi="Poppins" w:cs="Poppins"/>
        </w:rPr>
        <w:t xml:space="preserve">Socialisation may shift some cost recovery to the wider consumer base; it also ensures that reinforcement decisions are made based on system need. The final solution should consider how networks will be incentivised to minimise the whole system cost and ensure appropriate utilisation of new Transmission Reinforcements. </w:t>
      </w:r>
    </w:p>
    <w:p w14:paraId="412603CF" w14:textId="77777777" w:rsidR="00CA0621" w:rsidRPr="00DE2E99" w:rsidRDefault="00834E9F" w:rsidP="00CA0621">
      <w:pPr>
        <w:pStyle w:val="Heading2"/>
        <w:rPr>
          <w:rFonts w:ascii="Poppins" w:hAnsi="Poppins" w:cs="Poppins"/>
        </w:rPr>
      </w:pPr>
      <w:r>
        <w:rPr>
          <w:rFonts w:ascii="Poppins" w:hAnsi="Poppins" w:cs="Poppins"/>
        </w:rPr>
        <w:t xml:space="preserve">Original </w:t>
      </w:r>
      <w:r w:rsidRPr="007E4C55">
        <w:rPr>
          <w:rFonts w:ascii="Poppins" w:hAnsi="Poppins" w:cs="Poppins"/>
          <w:highlight w:val="yellow"/>
        </w:rPr>
        <w:t>and Workgroup Alternative</w:t>
      </w:r>
      <w:r>
        <w:rPr>
          <w:rFonts w:ascii="Poppins" w:hAnsi="Poppins" w:cs="Poppins"/>
        </w:rPr>
        <w:t xml:space="preserve"> </w:t>
      </w:r>
      <w:r w:rsidR="00CA0621" w:rsidRPr="00DE2E99">
        <w:rPr>
          <w:rFonts w:ascii="Poppins" w:hAnsi="Poppins" w:cs="Poppins"/>
        </w:rPr>
        <w:t>Proposer’s assessment against Code Objectives</w:t>
      </w:r>
      <w:bookmarkEnd w:id="32"/>
      <w:r w:rsidR="00233403">
        <w:rPr>
          <w:rFonts w:ascii="Poppins" w:hAnsi="Poppins" w:cs="Poppins"/>
        </w:rPr>
        <w:t xml:space="preserve"> </w:t>
      </w:r>
      <w:r w:rsidR="00CA0621" w:rsidRPr="00DE2E99">
        <w:rPr>
          <w:rFonts w:ascii="Poppins" w:hAnsi="Poppins" w:cs="Poppins"/>
        </w:rPr>
        <w:t xml:space="preserve"> </w:t>
      </w:r>
    </w:p>
    <w:tbl>
      <w:tblPr>
        <w:tblW w:w="967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1"/>
        <w:gridCol w:w="5713"/>
      </w:tblGrid>
      <w:tr w:rsidR="00063D7B" w:rsidRPr="00063D7B" w14:paraId="61857EE1" w14:textId="77777777" w:rsidTr="008E3806">
        <w:trPr>
          <w:trHeight w:val="296"/>
        </w:trPr>
        <w:tc>
          <w:tcPr>
            <w:tcW w:w="9674" w:type="dxa"/>
            <w:gridSpan w:val="2"/>
            <w:tcBorders>
              <w:top w:val="single" w:sz="6" w:space="0" w:color="3F0731" w:themeColor="text2"/>
              <w:left w:val="single" w:sz="6" w:space="0" w:color="3F0731" w:themeColor="text2"/>
              <w:bottom w:val="single" w:sz="6" w:space="0" w:color="3F0731" w:themeColor="text2"/>
              <w:right w:val="single" w:sz="6" w:space="0" w:color="3F0731" w:themeColor="text2"/>
            </w:tcBorders>
            <w:shd w:val="clear" w:color="auto" w:fill="D9D9D9" w:themeFill="background1" w:themeFillShade="D9"/>
            <w:hideMark/>
          </w:tcPr>
          <w:p w14:paraId="4B504575"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b/>
                <w:sz w:val="20"/>
                <w:szCs w:val="20"/>
              </w:rPr>
              <w:t>Original Proposer’s assessment against CUSC Code Objectives</w:t>
            </w:r>
          </w:p>
        </w:tc>
      </w:tr>
      <w:tr w:rsidR="00063D7B" w:rsidRPr="00063D7B" w14:paraId="2D557B8C" w14:textId="77777777" w:rsidTr="005B71FB">
        <w:trPr>
          <w:trHeight w:val="296"/>
        </w:trPr>
        <w:tc>
          <w:tcPr>
            <w:tcW w:w="3961"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p w14:paraId="596174B9"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b/>
                <w:sz w:val="20"/>
                <w:szCs w:val="20"/>
              </w:rPr>
              <w:t>Relevant Objective</w:t>
            </w:r>
            <w:r w:rsidRPr="00063D7B">
              <w:rPr>
                <w:rFonts w:ascii="Times New Roman" w:hAnsi="Times New Roman" w:cs="Times New Roman"/>
                <w:b/>
                <w:sz w:val="20"/>
                <w:szCs w:val="20"/>
              </w:rPr>
              <w:t> </w:t>
            </w:r>
            <w:r w:rsidRPr="00063D7B">
              <w:rPr>
                <w:rFonts w:ascii="Poppins" w:hAnsi="Poppins" w:cs="Poppins"/>
                <w:b/>
                <w:sz w:val="20"/>
                <w:szCs w:val="20"/>
              </w:rPr>
              <w:t> </w:t>
            </w:r>
          </w:p>
        </w:tc>
        <w:tc>
          <w:tcPr>
            <w:tcW w:w="5713"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p w14:paraId="0AC7C822"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b/>
                <w:sz w:val="20"/>
                <w:szCs w:val="20"/>
              </w:rPr>
              <w:t>Identified impact</w:t>
            </w:r>
            <w:r w:rsidRPr="00063D7B">
              <w:rPr>
                <w:rFonts w:ascii="Times New Roman" w:hAnsi="Times New Roman" w:cs="Times New Roman"/>
                <w:sz w:val="20"/>
                <w:szCs w:val="20"/>
              </w:rPr>
              <w:t> </w:t>
            </w:r>
            <w:r w:rsidRPr="00063D7B">
              <w:rPr>
                <w:rFonts w:ascii="Poppins" w:hAnsi="Poppins" w:cs="Poppins"/>
                <w:sz w:val="20"/>
                <w:szCs w:val="20"/>
              </w:rPr>
              <w:t> </w:t>
            </w:r>
          </w:p>
        </w:tc>
      </w:tr>
      <w:tr w:rsidR="00063D7B" w:rsidRPr="00063D7B" w14:paraId="180B51E7" w14:textId="77777777" w:rsidTr="005B71FB">
        <w:trPr>
          <w:trHeight w:val="296"/>
        </w:trPr>
        <w:tc>
          <w:tcPr>
            <w:tcW w:w="3961"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p w14:paraId="4371705E"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sz w:val="20"/>
                <w:szCs w:val="20"/>
              </w:rPr>
              <w:t>(d) That compliance with the use of system charging methodology facilitates effective competition in the generation and supply of electricity and (so far as is consistent therewith) facilitates competition in the sale, distribution and purchase of electricity;</w:t>
            </w:r>
            <w:r w:rsidRPr="00063D7B">
              <w:rPr>
                <w:rFonts w:ascii="Times New Roman" w:hAnsi="Times New Roman" w:cs="Times New Roman"/>
                <w:sz w:val="20"/>
                <w:szCs w:val="20"/>
              </w:rPr>
              <w:t> </w:t>
            </w:r>
            <w:r w:rsidRPr="00063D7B">
              <w:rPr>
                <w:rFonts w:ascii="Poppins" w:hAnsi="Poppins" w:cs="Poppins"/>
                <w:b/>
                <w:sz w:val="20"/>
                <w:szCs w:val="20"/>
              </w:rPr>
              <w:t> </w:t>
            </w:r>
          </w:p>
        </w:tc>
        <w:tc>
          <w:tcPr>
            <w:tcW w:w="5713"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sdt>
            <w:sdtPr>
              <w:rPr>
                <w:rFonts w:cs="Poppins"/>
                <w:b/>
                <w:bCs/>
              </w:rPr>
              <w:alias w:val="Impact assessment"/>
              <w:tag w:val="Impact assessment"/>
              <w:id w:val="1537075804"/>
              <w:placeholder>
                <w:docPart w:val="452A4FD6BBEC4960A770FEF89E43C352"/>
              </w:placeholder>
              <w:dropDownList>
                <w:listItem w:displayText="Select an impact" w:value="Select an impact"/>
                <w:listItem w:displayText="Positive" w:value="Positive"/>
                <w:listItem w:displayText="Neutral" w:value="Neutral"/>
                <w:listItem w:displayText="Negative" w:value="Negative"/>
              </w:dropDownList>
            </w:sdtPr>
            <w:sdtContent>
              <w:p w14:paraId="71F09D10" w14:textId="77777777" w:rsidR="00063D7B" w:rsidRPr="00063D7B" w:rsidRDefault="00063D7B" w:rsidP="008E3806">
                <w:pPr>
                  <w:pStyle w:val="BodyText"/>
                  <w:rPr>
                    <w:rFonts w:cs="Poppins"/>
                  </w:rPr>
                </w:pPr>
                <w:r w:rsidRPr="00063D7B">
                  <w:rPr>
                    <w:rFonts w:cs="Poppins"/>
                    <w:b/>
                    <w:bCs/>
                  </w:rPr>
                  <w:t>Positive</w:t>
                </w:r>
              </w:p>
            </w:sdtContent>
          </w:sdt>
          <w:p w14:paraId="36C663A0"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sz w:val="20"/>
                <w:szCs w:val="20"/>
              </w:rPr>
              <w:t xml:space="preserve">The proposal would align the charging incentive between distribution and transmission. If Demand or generation chooses to connect to the transmission network or the distribution network, and the assets can be shared by Users, it does not have to pay up front for the Transmission Owned Assets it has triggered. </w:t>
            </w:r>
          </w:p>
          <w:p w14:paraId="73E8D1DB"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sz w:val="20"/>
                <w:szCs w:val="20"/>
              </w:rPr>
              <w:t xml:space="preserve">The proposal reduces financial risk, improves transparency, allowing more customers to connect to the electricity network, and connection costs will be more equitable. This will increase competition.    </w:t>
            </w:r>
          </w:p>
          <w:p w14:paraId="45C7AB81" w14:textId="77777777" w:rsidR="00063D7B" w:rsidRPr="00063D7B" w:rsidRDefault="00063D7B" w:rsidP="008E3806">
            <w:pPr>
              <w:tabs>
                <w:tab w:val="left" w:pos="2820"/>
              </w:tabs>
              <w:spacing w:line="240" w:lineRule="auto"/>
              <w:rPr>
                <w:rFonts w:ascii="Poppins" w:hAnsi="Poppins" w:cs="Poppins"/>
                <w:sz w:val="20"/>
                <w:szCs w:val="20"/>
              </w:rPr>
            </w:pPr>
          </w:p>
        </w:tc>
      </w:tr>
      <w:tr w:rsidR="00063D7B" w:rsidRPr="00063D7B" w14:paraId="4799B768" w14:textId="77777777" w:rsidTr="005B71FB">
        <w:trPr>
          <w:trHeight w:val="296"/>
        </w:trPr>
        <w:tc>
          <w:tcPr>
            <w:tcW w:w="3961"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p w14:paraId="0551BCD3"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sz w:val="20"/>
                <w:szCs w:val="20"/>
              </w:rPr>
              <w:t>(e) That compliance with the use of system charging methodology results in charges which reflect, as far as is reasonably practicable, the costs (excluding any payments between transmission licensees which are made under and accordance with the STC) incurred by transmission licensees in their transmission businesses and which are compatible with standard licence condition C11 requirements of a connect and manage connection);</w:t>
            </w:r>
            <w:r w:rsidRPr="00063D7B">
              <w:rPr>
                <w:rFonts w:ascii="Times New Roman" w:hAnsi="Times New Roman" w:cs="Times New Roman"/>
                <w:sz w:val="20"/>
                <w:szCs w:val="20"/>
              </w:rPr>
              <w:t> </w:t>
            </w:r>
            <w:r w:rsidRPr="00063D7B">
              <w:rPr>
                <w:rFonts w:ascii="Poppins" w:hAnsi="Poppins" w:cs="Poppins"/>
                <w:b/>
                <w:sz w:val="20"/>
                <w:szCs w:val="20"/>
              </w:rPr>
              <w:t> </w:t>
            </w:r>
          </w:p>
        </w:tc>
        <w:tc>
          <w:tcPr>
            <w:tcW w:w="5713"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sdt>
            <w:sdtPr>
              <w:rPr>
                <w:rFonts w:cs="Poppins"/>
                <w:b/>
                <w:bCs/>
              </w:rPr>
              <w:alias w:val="Impact assessment"/>
              <w:tag w:val="Impact assessment"/>
              <w:id w:val="-1972589117"/>
              <w:placeholder>
                <w:docPart w:val="2B1DBD8AAF1D4D9EAF837F02E434B158"/>
              </w:placeholder>
              <w:dropDownList>
                <w:listItem w:displayText="Select an impact" w:value="Select an impact"/>
                <w:listItem w:displayText="Positive" w:value="Positive"/>
                <w:listItem w:displayText="Neutral" w:value="Neutral"/>
                <w:listItem w:displayText="Negative" w:value="Negative"/>
              </w:dropDownList>
            </w:sdtPr>
            <w:sdtContent>
              <w:p w14:paraId="2BC59D15" w14:textId="77777777" w:rsidR="00063D7B" w:rsidRPr="00063D7B" w:rsidRDefault="00063D7B" w:rsidP="008E3806">
                <w:pPr>
                  <w:pStyle w:val="BodyText"/>
                  <w:rPr>
                    <w:rFonts w:cs="Poppins"/>
                  </w:rPr>
                </w:pPr>
                <w:r w:rsidRPr="00063D7B">
                  <w:rPr>
                    <w:rFonts w:cs="Poppins"/>
                    <w:b/>
                    <w:bCs/>
                  </w:rPr>
                  <w:t>Neutral</w:t>
                </w:r>
              </w:p>
            </w:sdtContent>
          </w:sdt>
          <w:p w14:paraId="5727EB78"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sz w:val="20"/>
                <w:szCs w:val="20"/>
              </w:rPr>
              <w:t xml:space="preserve">The proposal could reduce the cost reflectivity as the local substation charges element of TNUoS are not directly related to the value of the Connection Assets at a GSP. A follow-on modification could correct this. </w:t>
            </w:r>
          </w:p>
          <w:p w14:paraId="31814751"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sz w:val="20"/>
                <w:szCs w:val="20"/>
              </w:rPr>
              <w:t xml:space="preserve">However, is it fundamentally difficult to separate the cost associated with Demand and the cost associated with generation, as Connection Assets can create capacity for both embedded generation and embedded Demand. This is especially true for distribution networks or private networks where the demand and generation offset each other and reduce the need for Transmission Assets.   </w:t>
            </w:r>
          </w:p>
        </w:tc>
      </w:tr>
      <w:tr w:rsidR="00063D7B" w:rsidRPr="00063D7B" w14:paraId="56237E02" w14:textId="77777777" w:rsidTr="005B71FB">
        <w:trPr>
          <w:trHeight w:val="296"/>
        </w:trPr>
        <w:tc>
          <w:tcPr>
            <w:tcW w:w="3961"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p w14:paraId="6F1DE779"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sz w:val="20"/>
                <w:szCs w:val="20"/>
              </w:rPr>
              <w:lastRenderedPageBreak/>
              <w:t>(f) That, so far as is consistent with sub-paragraphs (a) and (b), the use of system charging methodology, as far as is reasonably practicable, properly takes account of the developments in transmission licensees’ transmission businesses and the ISOP business*;</w:t>
            </w:r>
            <w:r w:rsidRPr="00063D7B">
              <w:rPr>
                <w:rFonts w:ascii="Times New Roman" w:hAnsi="Times New Roman" w:cs="Times New Roman"/>
                <w:sz w:val="20"/>
                <w:szCs w:val="20"/>
              </w:rPr>
              <w:t> </w:t>
            </w:r>
            <w:r w:rsidRPr="00063D7B">
              <w:rPr>
                <w:rFonts w:ascii="Poppins" w:hAnsi="Poppins" w:cs="Poppins"/>
                <w:b/>
                <w:sz w:val="20"/>
                <w:szCs w:val="20"/>
              </w:rPr>
              <w:t> </w:t>
            </w:r>
          </w:p>
        </w:tc>
        <w:tc>
          <w:tcPr>
            <w:tcW w:w="5713"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sdt>
            <w:sdtPr>
              <w:rPr>
                <w:rFonts w:cs="Poppins"/>
                <w:b/>
                <w:bCs/>
              </w:rPr>
              <w:alias w:val="Impact assessment"/>
              <w:tag w:val="Impact assessment"/>
              <w:id w:val="449432999"/>
              <w:placeholder>
                <w:docPart w:val="956DB97C43ED41B796DFBD7B54F06A2C"/>
              </w:placeholder>
              <w:dropDownList>
                <w:listItem w:displayText="Select an impact" w:value="Select an impact"/>
                <w:listItem w:displayText="Positive" w:value="Positive"/>
                <w:listItem w:displayText="Neutral" w:value="Neutral"/>
                <w:listItem w:displayText="Negative" w:value="Negative"/>
              </w:dropDownList>
            </w:sdtPr>
            <w:sdtContent>
              <w:p w14:paraId="6945ECDD" w14:textId="77777777" w:rsidR="00063D7B" w:rsidRPr="00063D7B" w:rsidRDefault="00063D7B" w:rsidP="008E3806">
                <w:pPr>
                  <w:pStyle w:val="BodyText"/>
                  <w:rPr>
                    <w:rFonts w:cs="Poppins"/>
                  </w:rPr>
                </w:pPr>
                <w:r w:rsidRPr="00063D7B">
                  <w:rPr>
                    <w:rFonts w:cs="Poppins"/>
                    <w:b/>
                    <w:bCs/>
                  </w:rPr>
                  <w:t>Neutral</w:t>
                </w:r>
              </w:p>
            </w:sdtContent>
          </w:sdt>
          <w:p w14:paraId="3A9CC74E"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sz w:val="20"/>
                <w:szCs w:val="20"/>
              </w:rPr>
              <w:t xml:space="preserve">This proposal provides a long-term solution for TOs to pass on costs that are triggered by connecting customers. The proposal helps reduce the risk of inefficient investment by TOs. </w:t>
            </w:r>
          </w:p>
          <w:p w14:paraId="2B96E031" w14:textId="77777777" w:rsidR="00063D7B" w:rsidRPr="00063D7B" w:rsidRDefault="00063D7B" w:rsidP="008E3806">
            <w:pPr>
              <w:tabs>
                <w:tab w:val="left" w:pos="2820"/>
              </w:tabs>
              <w:spacing w:line="240" w:lineRule="auto"/>
              <w:rPr>
                <w:rFonts w:ascii="Poppins" w:eastAsia="Arial" w:hAnsi="Poppins" w:cs="Poppins"/>
                <w:color w:val="000000" w:themeColor="text1"/>
                <w:sz w:val="20"/>
                <w:szCs w:val="20"/>
              </w:rPr>
            </w:pPr>
            <w:r w:rsidRPr="00063D7B">
              <w:rPr>
                <w:rFonts w:ascii="Poppins" w:eastAsia="Arial" w:hAnsi="Poppins" w:cs="Poppins"/>
                <w:color w:val="000000" w:themeColor="text1"/>
                <w:sz w:val="20"/>
                <w:szCs w:val="20"/>
              </w:rPr>
              <w:t xml:space="preserve">The proposal could remove the cost signals that incentivise smart solutions instead of network reinforcement e.g. Active Network Management. However, the time signal i.e. longer connection dates, should still be an incentive to implement smart solutions. NESO and Ofgem can also incentivise networks to implement smart solutions using connection agreements and business plan determinations.  </w:t>
            </w:r>
          </w:p>
        </w:tc>
      </w:tr>
      <w:tr w:rsidR="00063D7B" w:rsidRPr="00063D7B" w14:paraId="60DAC6E9" w14:textId="77777777" w:rsidTr="005B71FB">
        <w:trPr>
          <w:trHeight w:val="296"/>
        </w:trPr>
        <w:tc>
          <w:tcPr>
            <w:tcW w:w="3961"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p w14:paraId="2AA5F423"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sz w:val="20"/>
                <w:szCs w:val="20"/>
              </w:rPr>
              <w:t>(g) Compliance with the Electricity Regulation and any relevant legally binding decision of the European Commission and/or the Agency **; and</w:t>
            </w:r>
            <w:r w:rsidRPr="00063D7B">
              <w:rPr>
                <w:rFonts w:ascii="Times New Roman" w:hAnsi="Times New Roman" w:cs="Times New Roman"/>
                <w:sz w:val="20"/>
                <w:szCs w:val="20"/>
              </w:rPr>
              <w:t> </w:t>
            </w:r>
            <w:r w:rsidRPr="00063D7B">
              <w:rPr>
                <w:rFonts w:ascii="Poppins" w:hAnsi="Poppins" w:cs="Poppins"/>
                <w:b/>
                <w:sz w:val="20"/>
                <w:szCs w:val="20"/>
              </w:rPr>
              <w:t> </w:t>
            </w:r>
          </w:p>
        </w:tc>
        <w:tc>
          <w:tcPr>
            <w:tcW w:w="5713" w:type="dxa"/>
            <w:tcBorders>
              <w:top w:val="single" w:sz="6" w:space="0" w:color="3F0731" w:themeColor="text2"/>
              <w:left w:val="single" w:sz="6" w:space="0" w:color="3F0731" w:themeColor="text2"/>
              <w:bottom w:val="single" w:sz="6" w:space="0" w:color="3F0731" w:themeColor="text2"/>
              <w:right w:val="single" w:sz="6" w:space="0" w:color="3F0731" w:themeColor="text2"/>
            </w:tcBorders>
            <w:hideMark/>
          </w:tcPr>
          <w:sdt>
            <w:sdtPr>
              <w:rPr>
                <w:rFonts w:cs="Poppins"/>
                <w:b/>
                <w:bCs/>
              </w:rPr>
              <w:alias w:val="Impact assessment"/>
              <w:tag w:val="Impact assessment"/>
              <w:id w:val="-343480133"/>
              <w:placeholder>
                <w:docPart w:val="301940BB0CDE4DD689F14D9C6A8A6568"/>
              </w:placeholder>
              <w:dropDownList>
                <w:listItem w:displayText="Select an impact" w:value="Select an impact"/>
                <w:listItem w:displayText="Positive" w:value="Positive"/>
                <w:listItem w:displayText="Neutral" w:value="Neutral"/>
                <w:listItem w:displayText="Negative" w:value="Negative"/>
              </w:dropDownList>
            </w:sdtPr>
            <w:sdtContent>
              <w:p w14:paraId="3B939B49" w14:textId="77777777" w:rsidR="00063D7B" w:rsidRPr="00063D7B" w:rsidRDefault="00063D7B" w:rsidP="008E3806">
                <w:pPr>
                  <w:pStyle w:val="BodyText"/>
                  <w:rPr>
                    <w:rFonts w:cs="Poppins"/>
                  </w:rPr>
                </w:pPr>
                <w:r w:rsidRPr="00063D7B">
                  <w:rPr>
                    <w:rFonts w:cs="Poppins"/>
                    <w:b/>
                    <w:bCs/>
                  </w:rPr>
                  <w:t>Neutral</w:t>
                </w:r>
              </w:p>
            </w:sdtContent>
          </w:sdt>
          <w:p w14:paraId="28B91EAE"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sz w:val="20"/>
                <w:szCs w:val="20"/>
              </w:rPr>
              <w:t>The proposal does not have an impact or dependency on the Electricity Regulation and any relevant legally binding decision of the European Commission and/or the Agency.</w:t>
            </w:r>
          </w:p>
        </w:tc>
      </w:tr>
      <w:tr w:rsidR="00063D7B" w:rsidRPr="00063D7B" w14:paraId="2A0E8D33" w14:textId="77777777" w:rsidTr="005B71FB">
        <w:trPr>
          <w:trHeight w:val="296"/>
        </w:trPr>
        <w:tc>
          <w:tcPr>
            <w:tcW w:w="3961" w:type="dxa"/>
            <w:tcBorders>
              <w:top w:val="single" w:sz="6" w:space="0" w:color="3F0731" w:themeColor="text2"/>
              <w:left w:val="single" w:sz="6" w:space="0" w:color="3F0731" w:themeColor="text2"/>
              <w:bottom w:val="single" w:sz="6" w:space="0" w:color="auto"/>
              <w:right w:val="single" w:sz="6" w:space="0" w:color="3F0731" w:themeColor="text2"/>
            </w:tcBorders>
            <w:hideMark/>
          </w:tcPr>
          <w:p w14:paraId="440DC058"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sz w:val="20"/>
                <w:szCs w:val="20"/>
              </w:rPr>
              <w:t>(h) Promoting efficiency in the implementation and administration of the system charging methodology.</w:t>
            </w:r>
            <w:r w:rsidRPr="00063D7B">
              <w:rPr>
                <w:rFonts w:ascii="Times New Roman" w:hAnsi="Times New Roman" w:cs="Times New Roman"/>
                <w:sz w:val="20"/>
                <w:szCs w:val="20"/>
              </w:rPr>
              <w:t> </w:t>
            </w:r>
            <w:r w:rsidRPr="00063D7B">
              <w:rPr>
                <w:rFonts w:ascii="Poppins" w:hAnsi="Poppins" w:cs="Poppins"/>
                <w:b/>
                <w:sz w:val="20"/>
                <w:szCs w:val="20"/>
              </w:rPr>
              <w:t> </w:t>
            </w:r>
          </w:p>
        </w:tc>
        <w:tc>
          <w:tcPr>
            <w:tcW w:w="5713" w:type="dxa"/>
            <w:tcBorders>
              <w:top w:val="single" w:sz="6" w:space="0" w:color="3F0731" w:themeColor="text2"/>
              <w:left w:val="single" w:sz="6" w:space="0" w:color="3F0731" w:themeColor="text2"/>
              <w:bottom w:val="single" w:sz="6" w:space="0" w:color="auto"/>
              <w:right w:val="single" w:sz="6" w:space="0" w:color="3F0731" w:themeColor="text2"/>
            </w:tcBorders>
            <w:hideMark/>
          </w:tcPr>
          <w:sdt>
            <w:sdtPr>
              <w:rPr>
                <w:rFonts w:cs="Poppins"/>
                <w:b/>
                <w:bCs/>
              </w:rPr>
              <w:alias w:val="Impact assessment"/>
              <w:tag w:val="Impact assessment"/>
              <w:id w:val="1937087859"/>
              <w:placeholder>
                <w:docPart w:val="BA910788EA69479A807330A2747D5E23"/>
              </w:placeholder>
              <w:dropDownList>
                <w:listItem w:displayText="Select an impact" w:value="Select an impact"/>
                <w:listItem w:displayText="Positive" w:value="Positive"/>
                <w:listItem w:displayText="Neutral" w:value="Neutral"/>
                <w:listItem w:displayText="Negative" w:value="Negative"/>
              </w:dropDownList>
            </w:sdtPr>
            <w:sdtContent>
              <w:p w14:paraId="5E98D8CB" w14:textId="77777777" w:rsidR="00063D7B" w:rsidRPr="00063D7B" w:rsidRDefault="00063D7B" w:rsidP="008E3806">
                <w:pPr>
                  <w:pStyle w:val="BodyText"/>
                  <w:rPr>
                    <w:rFonts w:cs="Poppins"/>
                  </w:rPr>
                </w:pPr>
                <w:r w:rsidRPr="00063D7B">
                  <w:rPr>
                    <w:rFonts w:cs="Poppins"/>
                    <w:b/>
                    <w:bCs/>
                  </w:rPr>
                  <w:t>Positive</w:t>
                </w:r>
              </w:p>
            </w:sdtContent>
          </w:sdt>
          <w:p w14:paraId="28C1C202"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sz w:val="20"/>
                <w:szCs w:val="20"/>
              </w:rPr>
              <w:t>The proposal provides clarity on the framework for Transmission Reinforcement cost recovery and ensures all customers are treated equitably. Reduced ambiguity should reduce administrative complexity and improve the efficiency of the CUSC.</w:t>
            </w:r>
          </w:p>
          <w:p w14:paraId="2C3C8D89" w14:textId="77777777" w:rsidR="00063D7B" w:rsidRPr="00063D7B" w:rsidRDefault="00063D7B" w:rsidP="008E3806">
            <w:pPr>
              <w:tabs>
                <w:tab w:val="left" w:pos="2820"/>
              </w:tabs>
              <w:spacing w:line="240" w:lineRule="auto"/>
              <w:rPr>
                <w:rFonts w:ascii="Poppins" w:hAnsi="Poppins" w:cs="Poppins"/>
                <w:sz w:val="20"/>
                <w:szCs w:val="20"/>
              </w:rPr>
            </w:pPr>
            <w:r w:rsidRPr="00063D7B">
              <w:rPr>
                <w:rFonts w:ascii="Poppins" w:hAnsi="Poppins" w:cs="Poppins"/>
                <w:sz w:val="20"/>
                <w:szCs w:val="20"/>
              </w:rPr>
              <w:t>The proposal is straightforward to implement. The process to calculate Connection Asset charges will be easy to understand and implement.</w:t>
            </w:r>
          </w:p>
        </w:tc>
      </w:tr>
      <w:tr w:rsidR="00063D7B" w:rsidRPr="00063D7B" w14:paraId="6E9912ED" w14:textId="77777777" w:rsidTr="008E3806">
        <w:trPr>
          <w:trHeight w:val="296"/>
        </w:trPr>
        <w:tc>
          <w:tcPr>
            <w:tcW w:w="9674" w:type="dxa"/>
            <w:gridSpan w:val="2"/>
            <w:tcBorders>
              <w:top w:val="single" w:sz="6" w:space="0" w:color="auto"/>
              <w:left w:val="nil"/>
              <w:bottom w:val="nil"/>
              <w:right w:val="nil"/>
            </w:tcBorders>
            <w:hideMark/>
          </w:tcPr>
          <w:p w14:paraId="0B4B9B7F"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i/>
                <w:sz w:val="20"/>
                <w:szCs w:val="20"/>
              </w:rPr>
              <w:t>* See Electricity System Operator Licence </w:t>
            </w:r>
            <w:r w:rsidRPr="00063D7B">
              <w:rPr>
                <w:rFonts w:ascii="Poppins" w:hAnsi="Poppins" w:cs="Poppins"/>
                <w:b/>
                <w:sz w:val="20"/>
                <w:szCs w:val="20"/>
              </w:rPr>
              <w:t> </w:t>
            </w:r>
          </w:p>
        </w:tc>
      </w:tr>
      <w:tr w:rsidR="00063D7B" w:rsidRPr="00063D7B" w14:paraId="757EB514" w14:textId="77777777" w:rsidTr="008E3806">
        <w:trPr>
          <w:trHeight w:val="1507"/>
        </w:trPr>
        <w:tc>
          <w:tcPr>
            <w:tcW w:w="9674" w:type="dxa"/>
            <w:gridSpan w:val="2"/>
            <w:tcBorders>
              <w:top w:val="nil"/>
              <w:left w:val="nil"/>
              <w:bottom w:val="nil"/>
              <w:right w:val="nil"/>
            </w:tcBorders>
            <w:hideMark/>
          </w:tcPr>
          <w:p w14:paraId="01780C5B" w14:textId="77777777" w:rsidR="00063D7B" w:rsidRPr="00063D7B" w:rsidRDefault="00063D7B" w:rsidP="008E3806">
            <w:pPr>
              <w:tabs>
                <w:tab w:val="left" w:pos="2820"/>
              </w:tabs>
              <w:spacing w:line="240" w:lineRule="auto"/>
              <w:rPr>
                <w:rFonts w:ascii="Poppins" w:hAnsi="Poppins" w:cs="Poppins"/>
                <w:b/>
                <w:sz w:val="20"/>
                <w:szCs w:val="20"/>
              </w:rPr>
            </w:pPr>
            <w:r w:rsidRPr="00063D7B">
              <w:rPr>
                <w:rFonts w:ascii="Poppins" w:hAnsi="Poppins" w:cs="Poppins"/>
                <w:i/>
                <w:sz w:val="20"/>
                <w:szCs w:val="20"/>
              </w:rPr>
              <w:t>**The Electricity Regulation referred to in objective (d) is Regulation (EU) 2019/943 of the European Parliament and of the Council of 5 June 2019 on the internal market for electricity (recast) as it has effect immediately before IP completion day as read with the modifications set out in the SI 2020/1006.</w:t>
            </w:r>
            <w:r w:rsidRPr="00063D7B">
              <w:rPr>
                <w:rFonts w:ascii="Times New Roman" w:hAnsi="Times New Roman" w:cs="Times New Roman"/>
                <w:i/>
                <w:sz w:val="20"/>
                <w:szCs w:val="20"/>
              </w:rPr>
              <w:t> </w:t>
            </w:r>
            <w:r w:rsidRPr="00063D7B">
              <w:rPr>
                <w:rFonts w:ascii="Poppins" w:hAnsi="Poppins" w:cs="Poppins"/>
                <w:b/>
                <w:sz w:val="20"/>
                <w:szCs w:val="20"/>
              </w:rPr>
              <w:t> </w:t>
            </w:r>
          </w:p>
        </w:tc>
      </w:tr>
    </w:tbl>
    <w:p w14:paraId="3CFBC908" w14:textId="77777777" w:rsidR="00063D7B" w:rsidRPr="00D97CA1" w:rsidRDefault="00063D7B" w:rsidP="00CA0621">
      <w:pPr>
        <w:rPr>
          <w:rFonts w:ascii="Poppins" w:hAnsi="Poppins" w:cs="Poppins"/>
          <w:iCs/>
          <w:noProof/>
          <w:color w:val="000000" w:themeColor="text1"/>
        </w:rPr>
      </w:pPr>
    </w:p>
    <w:tbl>
      <w:tblPr>
        <w:tblStyle w:val="TableGrid"/>
        <w:tblW w:w="5000" w:type="pct"/>
        <w:tblLook w:val="04A0" w:firstRow="1" w:lastRow="0" w:firstColumn="1" w:lastColumn="0" w:noHBand="0" w:noVBand="1"/>
      </w:tblPr>
      <w:tblGrid>
        <w:gridCol w:w="2544"/>
        <w:gridCol w:w="3599"/>
        <w:gridCol w:w="3599"/>
      </w:tblGrid>
      <w:tr w:rsidR="00274A47" w:rsidRPr="00740093" w14:paraId="1A30A525" w14:textId="77777777" w:rsidTr="00274A47">
        <w:tc>
          <w:tcPr>
            <w:tcW w:w="1306" w:type="pct"/>
            <w:shd w:val="clear" w:color="auto" w:fill="D9D9D9" w:themeFill="background1" w:themeFillShade="D9"/>
          </w:tcPr>
          <w:p w14:paraId="2151036C" w14:textId="77777777" w:rsidR="00274A47" w:rsidRPr="00740093" w:rsidRDefault="00274A47" w:rsidP="00CA0621">
            <w:pPr>
              <w:rPr>
                <w:rFonts w:ascii="Poppins" w:hAnsi="Poppins" w:cs="Poppins"/>
                <w:b/>
                <w:bCs/>
                <w:iCs/>
                <w:noProof/>
                <w:sz w:val="20"/>
                <w:szCs w:val="20"/>
                <w:highlight w:val="yellow"/>
              </w:rPr>
            </w:pPr>
            <w:r w:rsidRPr="00740093">
              <w:rPr>
                <w:rFonts w:ascii="Poppins" w:hAnsi="Poppins" w:cs="Poppins"/>
                <w:b/>
                <w:bCs/>
                <w:iCs/>
                <w:noProof/>
                <w:sz w:val="20"/>
                <w:szCs w:val="20"/>
                <w:highlight w:val="yellow"/>
              </w:rPr>
              <w:t>Relevant Applicable Objective</w:t>
            </w:r>
          </w:p>
        </w:tc>
        <w:tc>
          <w:tcPr>
            <w:tcW w:w="1847" w:type="pct"/>
            <w:shd w:val="clear" w:color="auto" w:fill="D9D9D9" w:themeFill="background1" w:themeFillShade="D9"/>
          </w:tcPr>
          <w:p w14:paraId="3BFD0FAA" w14:textId="4599996A" w:rsidR="00274A47" w:rsidRPr="00740093" w:rsidRDefault="00274A47" w:rsidP="00CA0621">
            <w:pPr>
              <w:rPr>
                <w:rFonts w:ascii="Poppins" w:hAnsi="Poppins" w:cs="Poppins"/>
                <w:b/>
                <w:bCs/>
                <w:iCs/>
                <w:noProof/>
                <w:color w:val="7030A0"/>
                <w:sz w:val="20"/>
                <w:szCs w:val="20"/>
                <w:highlight w:val="yellow"/>
              </w:rPr>
            </w:pPr>
            <w:r w:rsidRPr="00740093">
              <w:rPr>
                <w:rFonts w:ascii="Poppins" w:hAnsi="Poppins" w:cs="Poppins"/>
                <w:b/>
                <w:bCs/>
                <w:iCs/>
                <w:noProof/>
                <w:sz w:val="20"/>
                <w:szCs w:val="20"/>
                <w:highlight w:val="yellow"/>
              </w:rPr>
              <w:t>WACMX</w:t>
            </w:r>
            <w:r w:rsidR="00A84739" w:rsidRPr="00740093">
              <w:rPr>
                <w:rFonts w:ascii="Poppins" w:hAnsi="Poppins" w:cs="Poppins"/>
                <w:b/>
                <w:bCs/>
                <w:iCs/>
                <w:noProof/>
                <w:sz w:val="20"/>
                <w:szCs w:val="20"/>
                <w:highlight w:val="yellow"/>
              </w:rPr>
              <w:t xml:space="preserve"> </w:t>
            </w:r>
            <w:r w:rsidRPr="00740093">
              <w:rPr>
                <w:rFonts w:ascii="Poppins" w:hAnsi="Poppins" w:cs="Poppins"/>
                <w:b/>
                <w:bCs/>
                <w:iCs/>
                <w:noProof/>
                <w:sz w:val="20"/>
                <w:szCs w:val="20"/>
                <w:highlight w:val="yellow"/>
              </w:rPr>
              <w:t>Proposer’s assessment</w:t>
            </w:r>
          </w:p>
        </w:tc>
        <w:tc>
          <w:tcPr>
            <w:tcW w:w="1847" w:type="pct"/>
            <w:shd w:val="clear" w:color="auto" w:fill="D9D9D9" w:themeFill="background1" w:themeFillShade="D9"/>
          </w:tcPr>
          <w:p w14:paraId="764EC6E5" w14:textId="309F47C2" w:rsidR="00274A47" w:rsidRPr="00740093" w:rsidRDefault="00274A47" w:rsidP="00CA0621">
            <w:pPr>
              <w:rPr>
                <w:rFonts w:ascii="Poppins" w:hAnsi="Poppins" w:cs="Poppins"/>
                <w:i/>
                <w:noProof/>
                <w:color w:val="7030A0"/>
                <w:sz w:val="20"/>
                <w:szCs w:val="20"/>
                <w:highlight w:val="yellow"/>
              </w:rPr>
            </w:pPr>
            <w:r w:rsidRPr="00740093">
              <w:rPr>
                <w:rFonts w:ascii="Poppins" w:hAnsi="Poppins" w:cs="Poppins"/>
                <w:b/>
                <w:bCs/>
                <w:iCs/>
                <w:noProof/>
                <w:sz w:val="20"/>
                <w:szCs w:val="20"/>
                <w:highlight w:val="yellow"/>
              </w:rPr>
              <w:t>WACMX Proposer’s assessment</w:t>
            </w:r>
          </w:p>
        </w:tc>
      </w:tr>
      <w:tr w:rsidR="00A84739" w:rsidRPr="00A84739" w14:paraId="6A61B121" w14:textId="77777777" w:rsidTr="00274A47">
        <w:tc>
          <w:tcPr>
            <w:tcW w:w="1306" w:type="pct"/>
          </w:tcPr>
          <w:p w14:paraId="573C31DD" w14:textId="2A09B2A2" w:rsidR="00274A47" w:rsidRPr="00740093" w:rsidRDefault="00740093" w:rsidP="00A84739">
            <w:pPr>
              <w:rPr>
                <w:rFonts w:ascii="Poppins" w:hAnsi="Poppins" w:cs="Poppins"/>
                <w:iCs/>
                <w:noProof/>
                <w:color w:val="000000" w:themeColor="text1"/>
                <w:sz w:val="20"/>
                <w:szCs w:val="20"/>
                <w:highlight w:val="yellow"/>
              </w:rPr>
            </w:pPr>
            <w:r w:rsidRPr="00740093">
              <w:rPr>
                <w:rFonts w:ascii="Poppins" w:hAnsi="Poppins" w:cs="Poppins"/>
                <w:iCs/>
                <w:noProof/>
                <w:color w:val="000000" w:themeColor="text1"/>
                <w:sz w:val="20"/>
                <w:szCs w:val="20"/>
                <w:highlight w:val="yellow"/>
              </w:rPr>
              <w:lastRenderedPageBreak/>
              <w:t>[…]</w:t>
            </w:r>
          </w:p>
        </w:tc>
        <w:tc>
          <w:tcPr>
            <w:tcW w:w="1847" w:type="pct"/>
          </w:tcPr>
          <w:p w14:paraId="3B51D8AE" w14:textId="1FCE5E6C" w:rsidR="00274A47" w:rsidRPr="00740093" w:rsidRDefault="00740093" w:rsidP="00CA0621">
            <w:pPr>
              <w:rPr>
                <w:rFonts w:ascii="Poppins" w:hAnsi="Poppins" w:cs="Poppins"/>
                <w:iCs/>
                <w:noProof/>
                <w:color w:val="000000" w:themeColor="text1"/>
                <w:sz w:val="20"/>
                <w:szCs w:val="20"/>
                <w:highlight w:val="yellow"/>
              </w:rPr>
            </w:pPr>
            <w:r w:rsidRPr="00740093">
              <w:rPr>
                <w:rFonts w:ascii="Poppins" w:hAnsi="Poppins" w:cs="Poppins"/>
                <w:iCs/>
                <w:noProof/>
                <w:color w:val="000000" w:themeColor="text1"/>
                <w:sz w:val="20"/>
                <w:szCs w:val="20"/>
                <w:highlight w:val="yellow"/>
              </w:rPr>
              <w:t>[…]</w:t>
            </w:r>
          </w:p>
        </w:tc>
        <w:tc>
          <w:tcPr>
            <w:tcW w:w="1847" w:type="pct"/>
          </w:tcPr>
          <w:p w14:paraId="4DF26C8B" w14:textId="51E0CAD1" w:rsidR="00274A47" w:rsidRPr="00A84739" w:rsidRDefault="00740093" w:rsidP="00CA0621">
            <w:pPr>
              <w:rPr>
                <w:rFonts w:ascii="Poppins" w:hAnsi="Poppins" w:cs="Poppins"/>
                <w:iCs/>
                <w:noProof/>
                <w:color w:val="000000" w:themeColor="text1"/>
                <w:sz w:val="20"/>
                <w:szCs w:val="20"/>
              </w:rPr>
            </w:pPr>
            <w:r w:rsidRPr="00740093">
              <w:rPr>
                <w:rFonts w:ascii="Poppins" w:hAnsi="Poppins" w:cs="Poppins"/>
                <w:iCs/>
                <w:noProof/>
                <w:color w:val="000000" w:themeColor="text1"/>
                <w:sz w:val="20"/>
                <w:szCs w:val="20"/>
                <w:highlight w:val="yellow"/>
              </w:rPr>
              <w:t>[…]</w:t>
            </w:r>
          </w:p>
        </w:tc>
      </w:tr>
    </w:tbl>
    <w:p w14:paraId="4CC130AF" w14:textId="07CF0D1D" w:rsidR="00077F45" w:rsidRPr="00774D50" w:rsidRDefault="00077F45" w:rsidP="00CA0621">
      <w:pPr>
        <w:rPr>
          <w:rFonts w:ascii="Poppins" w:hAnsi="Poppins" w:cs="Poppins"/>
          <w:bCs/>
          <w:iCs/>
          <w:color w:val="00B050"/>
          <w:kern w:val="32"/>
        </w:rPr>
      </w:pPr>
    </w:p>
    <w:tbl>
      <w:tblPr>
        <w:tblStyle w:val="GridTable4-Accent1"/>
        <w:tblW w:w="9736" w:type="dxa"/>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tblLook w:val="06A0" w:firstRow="1" w:lastRow="0" w:firstColumn="1" w:lastColumn="0" w:noHBand="1" w:noVBand="1"/>
      </w:tblPr>
      <w:tblGrid>
        <w:gridCol w:w="2640"/>
        <w:gridCol w:w="4101"/>
        <w:gridCol w:w="2995"/>
      </w:tblGrid>
      <w:tr w:rsidR="005B71FB" w:rsidRPr="002F445F" w14:paraId="318E0D62" w14:textId="77777777" w:rsidTr="001A71A8">
        <w:trPr>
          <w:cnfStyle w:val="100000000000" w:firstRow="1" w:lastRow="0" w:firstColumn="0" w:lastColumn="0" w:oddVBand="0" w:evenVBand="0" w:oddHBand="0"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9736" w:type="dxa"/>
            <w:gridSpan w:val="3"/>
            <w:shd w:val="clear" w:color="auto" w:fill="3F0731"/>
            <w:hideMark/>
          </w:tcPr>
          <w:p w14:paraId="79A106C8" w14:textId="0EA2A84F" w:rsidR="005B71FB" w:rsidRPr="002F445F" w:rsidRDefault="005B71FB">
            <w:pPr>
              <w:pStyle w:val="Heading2"/>
              <w:rPr>
                <w:rFonts w:ascii="Poppins" w:hAnsi="Poppins" w:cs="Poppins"/>
              </w:rPr>
            </w:pPr>
            <w:bookmarkStart w:id="33" w:name="_Toc178763834"/>
            <w:bookmarkStart w:id="34" w:name="_Toc178764107"/>
            <w:bookmarkStart w:id="35" w:name="_Toc207608726"/>
            <w:r w:rsidRPr="00A724AD">
              <w:rPr>
                <w:rFonts w:ascii="Poppins" w:hAnsi="Poppins" w:cs="Poppins"/>
                <w:b/>
                <w:bCs/>
                <w:color w:val="FFFFFF" w:themeColor="background1"/>
              </w:rPr>
              <w:t>Assessment of the impact of the modification on the stakeholder / consumer benefit categories</w:t>
            </w:r>
            <w:bookmarkEnd w:id="33"/>
            <w:bookmarkEnd w:id="34"/>
            <w:r w:rsidRPr="00A724AD">
              <w:rPr>
                <w:rFonts w:ascii="Poppins" w:hAnsi="Poppins" w:cs="Poppins"/>
                <w:b/>
                <w:bCs/>
                <w:color w:val="FFFFFF" w:themeColor="background1"/>
              </w:rPr>
              <w:t> </w:t>
            </w:r>
            <w:bookmarkEnd w:id="35"/>
          </w:p>
        </w:tc>
      </w:tr>
      <w:tr w:rsidR="003A1736" w:rsidRPr="002F445F" w14:paraId="6632D30D" w14:textId="77777777">
        <w:trPr>
          <w:trHeight w:val="390"/>
        </w:trPr>
        <w:tc>
          <w:tcPr>
            <w:cnfStyle w:val="001000000000" w:firstRow="0" w:lastRow="0" w:firstColumn="1" w:lastColumn="0" w:oddVBand="0" w:evenVBand="0" w:oddHBand="0" w:evenHBand="0" w:firstRowFirstColumn="0" w:firstRowLastColumn="0" w:lastRowFirstColumn="0" w:lastRowLastColumn="0"/>
            <w:tcW w:w="2640" w:type="dxa"/>
            <w:hideMark/>
          </w:tcPr>
          <w:p w14:paraId="31A443A4" w14:textId="77777777" w:rsidR="003A1736" w:rsidRPr="002F445F" w:rsidRDefault="003A1736">
            <w:pPr>
              <w:tabs>
                <w:tab w:val="left" w:pos="2820"/>
              </w:tabs>
              <w:rPr>
                <w:rFonts w:ascii="Poppins" w:hAnsi="Poppins" w:cs="Poppins"/>
              </w:rPr>
            </w:pPr>
            <w:r w:rsidRPr="002F445F">
              <w:rPr>
                <w:rFonts w:ascii="Poppins" w:hAnsi="Poppins" w:cs="Poppins"/>
              </w:rPr>
              <w:t>Stakeholder / consumer benefit categories </w:t>
            </w:r>
          </w:p>
        </w:tc>
        <w:tc>
          <w:tcPr>
            <w:tcW w:w="4101" w:type="dxa"/>
            <w:hideMark/>
          </w:tcPr>
          <w:p w14:paraId="05C3B8A8" w14:textId="77777777" w:rsidR="003A1736" w:rsidRPr="002F445F" w:rsidRDefault="003A1736">
            <w:pPr>
              <w:tabs>
                <w:tab w:val="left" w:pos="2820"/>
              </w:tabs>
              <w:cnfStyle w:val="000000000000" w:firstRow="0" w:lastRow="0" w:firstColumn="0" w:lastColumn="0" w:oddVBand="0" w:evenVBand="0" w:oddHBand="0" w:evenHBand="0" w:firstRowFirstColumn="0" w:firstRowLastColumn="0" w:lastRowFirstColumn="0" w:lastRowLastColumn="0"/>
              <w:rPr>
                <w:rFonts w:ascii="Poppins" w:hAnsi="Poppins" w:cs="Poppins"/>
              </w:rPr>
            </w:pPr>
            <w:r>
              <w:rPr>
                <w:rFonts w:ascii="Poppins" w:hAnsi="Poppins" w:cs="Poppins"/>
                <w:b/>
                <w:bCs/>
              </w:rPr>
              <w:t>Proposer’s view</w:t>
            </w:r>
            <w:r w:rsidRPr="002F445F">
              <w:rPr>
                <w:rFonts w:ascii="Poppins" w:hAnsi="Poppins" w:cs="Poppins"/>
              </w:rPr>
              <w:t> </w:t>
            </w:r>
          </w:p>
        </w:tc>
        <w:tc>
          <w:tcPr>
            <w:tcW w:w="2995" w:type="dxa"/>
          </w:tcPr>
          <w:p w14:paraId="408FC2D9" w14:textId="77777777" w:rsidR="003A1736" w:rsidRPr="002F445F" w:rsidRDefault="003A1736">
            <w:pPr>
              <w:tabs>
                <w:tab w:val="left" w:pos="2820"/>
              </w:tabs>
              <w:cnfStyle w:val="000000000000" w:firstRow="0" w:lastRow="0" w:firstColumn="0" w:lastColumn="0" w:oddVBand="0" w:evenVBand="0" w:oddHBand="0" w:evenHBand="0" w:firstRowFirstColumn="0" w:firstRowLastColumn="0" w:lastRowFirstColumn="0" w:lastRowLastColumn="0"/>
              <w:rPr>
                <w:rFonts w:ascii="Poppins" w:hAnsi="Poppins" w:cs="Poppins"/>
                <w:b/>
                <w:bCs/>
              </w:rPr>
            </w:pPr>
            <w:r w:rsidRPr="0061360C">
              <w:rPr>
                <w:rFonts w:ascii="Poppins" w:hAnsi="Poppins" w:cs="Poppins"/>
                <w:b/>
                <w:bCs/>
                <w:highlight w:val="yellow"/>
              </w:rPr>
              <w:t>Workgroup view</w:t>
            </w:r>
          </w:p>
        </w:tc>
      </w:tr>
      <w:tr w:rsidR="0099125E" w:rsidRPr="002F445F" w14:paraId="0C7F4242" w14:textId="77777777" w:rsidTr="00FD1B67">
        <w:trPr>
          <w:trHeight w:val="390"/>
        </w:trPr>
        <w:tc>
          <w:tcPr>
            <w:cnfStyle w:val="001000000000" w:firstRow="0" w:lastRow="0" w:firstColumn="1" w:lastColumn="0" w:oddVBand="0" w:evenVBand="0" w:oddHBand="0" w:evenHBand="0" w:firstRowFirstColumn="0" w:firstRowLastColumn="0" w:lastRowFirstColumn="0" w:lastRowLastColumn="0"/>
            <w:tcW w:w="2640" w:type="dxa"/>
          </w:tcPr>
          <w:p w14:paraId="46D779DB" w14:textId="0260C503" w:rsidR="0099125E" w:rsidRPr="0099125E" w:rsidRDefault="0099125E" w:rsidP="0099125E">
            <w:pPr>
              <w:pStyle w:val="BodyText"/>
              <w:rPr>
                <w:rFonts w:cs="Poppins"/>
                <w:b w:val="0"/>
                <w:bCs w:val="0"/>
                <w:sz w:val="24"/>
                <w:szCs w:val="24"/>
              </w:rPr>
            </w:pPr>
            <w:r w:rsidRPr="0099125E">
              <w:rPr>
                <w:rFonts w:cs="Poppins"/>
                <w:b w:val="0"/>
                <w:bCs w:val="0"/>
                <w:sz w:val="24"/>
                <w:szCs w:val="24"/>
              </w:rPr>
              <w:t xml:space="preserve">Improved safety and reliability of the system  </w:t>
            </w:r>
          </w:p>
        </w:tc>
        <w:tc>
          <w:tcPr>
            <w:tcW w:w="4101" w:type="dxa"/>
          </w:tcPr>
          <w:sdt>
            <w:sdtPr>
              <w:rPr>
                <w:rStyle w:val="Boldnormaltext"/>
                <w:rFonts w:ascii="Poppins" w:hAnsi="Poppins" w:cs="Poppins"/>
              </w:rPr>
              <w:alias w:val="Impact assessment"/>
              <w:tag w:val="Impact assessment"/>
              <w:id w:val="-618373279"/>
              <w:placeholder>
                <w:docPart w:val="0D377A7D565D4C10BC44C75DCD8F2901"/>
              </w:placeholder>
              <w:dropDownList>
                <w:listItem w:displayText="Positive" w:value="Positive"/>
                <w:listItem w:displayText="Negative" w:value="Negative"/>
                <w:listItem w:displayText="Neutral" w:value="Neutral"/>
              </w:dropDownList>
            </w:sdtPr>
            <w:sdtContent>
              <w:p w14:paraId="5572BA90" w14:textId="77777777" w:rsidR="0099125E" w:rsidRPr="0099125E" w:rsidRDefault="0099125E" w:rsidP="0099125E">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99125E">
                  <w:rPr>
                    <w:rStyle w:val="Boldnormaltext"/>
                    <w:rFonts w:ascii="Poppins" w:hAnsi="Poppins" w:cs="Poppins"/>
                  </w:rPr>
                  <w:t>Neutral</w:t>
                </w:r>
              </w:p>
            </w:sdtContent>
          </w:sdt>
          <w:p w14:paraId="3CDA57C1" w14:textId="2D6C022E" w:rsidR="0099125E" w:rsidRPr="0099125E" w:rsidRDefault="0099125E" w:rsidP="0099125E">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4"/>
                <w:szCs w:val="24"/>
              </w:rPr>
            </w:pPr>
            <w:r w:rsidRPr="0099125E">
              <w:rPr>
                <w:rFonts w:ascii="Times New Roman" w:hAnsi="Times New Roman" w:cs="Times New Roman"/>
                <w:sz w:val="24"/>
                <w:szCs w:val="24"/>
              </w:rPr>
              <w:t>​​</w:t>
            </w:r>
            <w:r w:rsidRPr="0099125E">
              <w:rPr>
                <w:rFonts w:cs="Poppins"/>
                <w:sz w:val="24"/>
                <w:szCs w:val="24"/>
              </w:rPr>
              <w:t>There will be no change to the safety and reliability of the transmission system due to this Proposal.</w:t>
            </w:r>
          </w:p>
        </w:tc>
        <w:tc>
          <w:tcPr>
            <w:tcW w:w="2995" w:type="dxa"/>
          </w:tcPr>
          <w:p w14:paraId="36246BAF" w14:textId="77777777" w:rsidR="0099125E" w:rsidRPr="00B72208" w:rsidRDefault="0099125E" w:rsidP="0099125E">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highlight w:val="yellow"/>
              </w:rPr>
            </w:pPr>
            <w:r w:rsidRPr="00B72208">
              <w:rPr>
                <w:rStyle w:val="Boldnormaltext"/>
                <w:rFonts w:ascii="Poppins" w:hAnsi="Poppins" w:cs="Poppins"/>
                <w:highlight w:val="yellow"/>
              </w:rPr>
              <w:t>[T</w:t>
            </w:r>
            <w:r w:rsidRPr="00B72208">
              <w:rPr>
                <w:rStyle w:val="Boldnormaltext"/>
                <w:rFonts w:ascii="Poppins" w:hAnsi="Poppins"/>
                <w:highlight w:val="yellow"/>
              </w:rPr>
              <w:t>BD]</w:t>
            </w:r>
          </w:p>
          <w:p w14:paraId="1F654E73" w14:textId="66B3B735" w:rsidR="0099125E" w:rsidRPr="00B72208" w:rsidRDefault="00B72208" w:rsidP="0099125E">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b w:val="0"/>
                <w:bCs/>
              </w:rPr>
            </w:pPr>
            <w:r w:rsidRPr="00B72208">
              <w:rPr>
                <w:rStyle w:val="Boldnormaltext"/>
                <w:rFonts w:ascii="Poppins" w:hAnsi="Poppins"/>
                <w:b w:val="0"/>
                <w:bCs/>
                <w:highlight w:val="yellow"/>
              </w:rPr>
              <w:t>[…]</w:t>
            </w:r>
          </w:p>
        </w:tc>
      </w:tr>
      <w:tr w:rsidR="0099125E" w:rsidRPr="002F445F" w14:paraId="41285D1F" w14:textId="77777777" w:rsidTr="00FD1B67">
        <w:trPr>
          <w:trHeight w:val="390"/>
        </w:trPr>
        <w:tc>
          <w:tcPr>
            <w:cnfStyle w:val="001000000000" w:firstRow="0" w:lastRow="0" w:firstColumn="1" w:lastColumn="0" w:oddVBand="0" w:evenVBand="0" w:oddHBand="0" w:evenHBand="0" w:firstRowFirstColumn="0" w:firstRowLastColumn="0" w:lastRowFirstColumn="0" w:lastRowLastColumn="0"/>
            <w:tcW w:w="2640" w:type="dxa"/>
          </w:tcPr>
          <w:p w14:paraId="091DA576" w14:textId="34E12E79" w:rsidR="0099125E" w:rsidRPr="0099125E" w:rsidRDefault="0099125E" w:rsidP="0099125E">
            <w:pPr>
              <w:pStyle w:val="BodyText"/>
              <w:rPr>
                <w:rFonts w:cs="Poppins"/>
                <w:b w:val="0"/>
                <w:bCs w:val="0"/>
                <w:sz w:val="24"/>
                <w:szCs w:val="24"/>
              </w:rPr>
            </w:pPr>
            <w:r w:rsidRPr="0099125E">
              <w:rPr>
                <w:rFonts w:cs="Poppins"/>
                <w:b w:val="0"/>
                <w:bCs w:val="0"/>
                <w:sz w:val="24"/>
                <w:szCs w:val="24"/>
              </w:rPr>
              <w:t xml:space="preserve">Lower bills than would otherwise be the case  </w:t>
            </w:r>
          </w:p>
        </w:tc>
        <w:tc>
          <w:tcPr>
            <w:tcW w:w="4101" w:type="dxa"/>
          </w:tcPr>
          <w:sdt>
            <w:sdtPr>
              <w:rPr>
                <w:rStyle w:val="Boldnormaltext"/>
                <w:rFonts w:ascii="Poppins" w:hAnsi="Poppins" w:cs="Poppins"/>
              </w:rPr>
              <w:alias w:val="Impact assessment"/>
              <w:tag w:val="Impact assessment"/>
              <w:id w:val="1896535093"/>
              <w:placeholder>
                <w:docPart w:val="33D6FC8D0D8A4C938BEDA9B9F6F03870"/>
              </w:placeholder>
              <w:dropDownList>
                <w:listItem w:displayText="Positive" w:value="Positive"/>
                <w:listItem w:displayText="Negative" w:value="Negative"/>
                <w:listItem w:displayText="Neutral" w:value="Neutral"/>
              </w:dropDownList>
            </w:sdtPr>
            <w:sdtContent>
              <w:p w14:paraId="3DC0A9B4" w14:textId="77777777" w:rsidR="0099125E" w:rsidRPr="0099125E" w:rsidRDefault="0099125E" w:rsidP="0099125E">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99125E">
                  <w:rPr>
                    <w:rStyle w:val="Boldnormaltext"/>
                    <w:rFonts w:ascii="Poppins" w:hAnsi="Poppins" w:cs="Poppins"/>
                  </w:rPr>
                  <w:t>Positive</w:t>
                </w:r>
              </w:p>
            </w:sdtContent>
          </w:sdt>
          <w:p w14:paraId="50994264" w14:textId="233B3EC0" w:rsidR="0099125E" w:rsidRPr="0099125E" w:rsidRDefault="0099125E" w:rsidP="0099125E">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4"/>
                <w:szCs w:val="24"/>
              </w:rPr>
            </w:pPr>
            <w:r w:rsidRPr="0099125E">
              <w:rPr>
                <w:rFonts w:cs="Poppins"/>
                <w:sz w:val="24"/>
                <w:szCs w:val="24"/>
              </w:rPr>
              <w:t xml:space="preserve">This modification will improve competition in the electricity supply by providing a consistent and equitable framework for embedded customers and customers connecting directly to the transmission network. The modification should also improve strategic network planning at the transmission and distribution interface, leading to optimised network investment and lower bills for consumers.  </w:t>
            </w:r>
          </w:p>
        </w:tc>
        <w:tc>
          <w:tcPr>
            <w:tcW w:w="2995" w:type="dxa"/>
          </w:tcPr>
          <w:p w14:paraId="59B424CB" w14:textId="77777777" w:rsidR="00B72208" w:rsidRPr="00B72208" w:rsidRDefault="00B72208" w:rsidP="00B72208">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highlight w:val="yellow"/>
              </w:rPr>
            </w:pPr>
            <w:r w:rsidRPr="00B72208">
              <w:rPr>
                <w:rStyle w:val="Boldnormaltext"/>
                <w:rFonts w:ascii="Poppins" w:hAnsi="Poppins" w:cs="Poppins"/>
                <w:highlight w:val="yellow"/>
              </w:rPr>
              <w:t>[T</w:t>
            </w:r>
            <w:r w:rsidRPr="00B72208">
              <w:rPr>
                <w:rStyle w:val="Boldnormaltext"/>
                <w:rFonts w:ascii="Poppins" w:hAnsi="Poppins"/>
                <w:highlight w:val="yellow"/>
              </w:rPr>
              <w:t>BD]</w:t>
            </w:r>
          </w:p>
          <w:p w14:paraId="2294CA7A" w14:textId="6EF45E74" w:rsidR="0099125E" w:rsidRDefault="00B72208" w:rsidP="00B72208">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B72208">
              <w:rPr>
                <w:rStyle w:val="Boldnormaltext"/>
                <w:rFonts w:ascii="Poppins" w:hAnsi="Poppins"/>
                <w:b w:val="0"/>
                <w:bCs/>
                <w:highlight w:val="yellow"/>
              </w:rPr>
              <w:t>[…]</w:t>
            </w:r>
          </w:p>
        </w:tc>
      </w:tr>
      <w:tr w:rsidR="0099125E" w:rsidRPr="002F445F" w14:paraId="4C3B2FC7" w14:textId="77777777" w:rsidTr="00FD1B67">
        <w:trPr>
          <w:trHeight w:val="390"/>
        </w:trPr>
        <w:tc>
          <w:tcPr>
            <w:cnfStyle w:val="001000000000" w:firstRow="0" w:lastRow="0" w:firstColumn="1" w:lastColumn="0" w:oddVBand="0" w:evenVBand="0" w:oddHBand="0" w:evenHBand="0" w:firstRowFirstColumn="0" w:firstRowLastColumn="0" w:lastRowFirstColumn="0" w:lastRowLastColumn="0"/>
            <w:tcW w:w="2640" w:type="dxa"/>
          </w:tcPr>
          <w:p w14:paraId="44894DF2" w14:textId="68C89B91" w:rsidR="0099125E" w:rsidRPr="0099125E" w:rsidRDefault="0099125E" w:rsidP="0099125E">
            <w:pPr>
              <w:pStyle w:val="BodyText"/>
              <w:rPr>
                <w:rFonts w:cs="Poppins"/>
                <w:b w:val="0"/>
                <w:bCs w:val="0"/>
                <w:sz w:val="24"/>
                <w:szCs w:val="24"/>
              </w:rPr>
            </w:pPr>
            <w:r w:rsidRPr="0099125E">
              <w:rPr>
                <w:rFonts w:cs="Poppins"/>
                <w:b w:val="0"/>
                <w:bCs w:val="0"/>
                <w:sz w:val="24"/>
                <w:szCs w:val="24"/>
              </w:rPr>
              <w:t xml:space="preserve">Benefits for society as a whole  </w:t>
            </w:r>
          </w:p>
        </w:tc>
        <w:tc>
          <w:tcPr>
            <w:tcW w:w="4101" w:type="dxa"/>
          </w:tcPr>
          <w:sdt>
            <w:sdtPr>
              <w:rPr>
                <w:rStyle w:val="Boldnormaltext"/>
                <w:rFonts w:ascii="Poppins" w:hAnsi="Poppins" w:cs="Poppins"/>
              </w:rPr>
              <w:alias w:val="Impact assessment"/>
              <w:tag w:val="Impact assessment"/>
              <w:id w:val="1726332859"/>
              <w:placeholder>
                <w:docPart w:val="1EBC14C777804ABC8E8E3ADB068FA855"/>
              </w:placeholder>
              <w:dropDownList>
                <w:listItem w:displayText="Positive" w:value="Positive"/>
                <w:listItem w:displayText="Negative" w:value="Negative"/>
                <w:listItem w:displayText="Neutral" w:value="Neutral"/>
              </w:dropDownList>
            </w:sdtPr>
            <w:sdtContent>
              <w:p w14:paraId="7305077A" w14:textId="77777777" w:rsidR="0099125E" w:rsidRPr="0099125E" w:rsidRDefault="0099125E" w:rsidP="0099125E">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99125E">
                  <w:rPr>
                    <w:rStyle w:val="Boldnormaltext"/>
                    <w:rFonts w:ascii="Poppins" w:hAnsi="Poppins" w:cs="Poppins"/>
                  </w:rPr>
                  <w:t>Neutral</w:t>
                </w:r>
              </w:p>
            </w:sdtContent>
          </w:sdt>
          <w:p w14:paraId="13DE63ED" w14:textId="22FCD28D" w:rsidR="0099125E" w:rsidRPr="0099125E" w:rsidRDefault="0099125E" w:rsidP="0099125E">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4"/>
                <w:szCs w:val="24"/>
              </w:rPr>
            </w:pPr>
            <w:r w:rsidRPr="0099125E">
              <w:rPr>
                <w:rFonts w:cs="Poppins"/>
                <w:sz w:val="24"/>
                <w:szCs w:val="24"/>
              </w:rPr>
              <w:lastRenderedPageBreak/>
              <w:t>This modification focuses on how costs are apportioned, and therefore, the impact on society as a whole will not change.</w:t>
            </w:r>
          </w:p>
        </w:tc>
        <w:tc>
          <w:tcPr>
            <w:tcW w:w="2995" w:type="dxa"/>
          </w:tcPr>
          <w:p w14:paraId="1BF56895" w14:textId="77777777" w:rsidR="00B72208" w:rsidRPr="00B72208" w:rsidRDefault="00B72208" w:rsidP="00B72208">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highlight w:val="yellow"/>
              </w:rPr>
            </w:pPr>
            <w:r w:rsidRPr="00B72208">
              <w:rPr>
                <w:rStyle w:val="Boldnormaltext"/>
                <w:rFonts w:ascii="Poppins" w:hAnsi="Poppins" w:cs="Poppins"/>
                <w:highlight w:val="yellow"/>
              </w:rPr>
              <w:lastRenderedPageBreak/>
              <w:t>[T</w:t>
            </w:r>
            <w:r w:rsidRPr="00B72208">
              <w:rPr>
                <w:rStyle w:val="Boldnormaltext"/>
                <w:rFonts w:ascii="Poppins" w:hAnsi="Poppins"/>
                <w:highlight w:val="yellow"/>
              </w:rPr>
              <w:t>BD]</w:t>
            </w:r>
          </w:p>
          <w:p w14:paraId="55AC40B4" w14:textId="30B9E509" w:rsidR="0099125E" w:rsidRDefault="00B72208" w:rsidP="00B72208">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B72208">
              <w:rPr>
                <w:rStyle w:val="Boldnormaltext"/>
                <w:rFonts w:ascii="Poppins" w:hAnsi="Poppins"/>
                <w:b w:val="0"/>
                <w:bCs/>
                <w:highlight w:val="yellow"/>
              </w:rPr>
              <w:t>[…]</w:t>
            </w:r>
          </w:p>
        </w:tc>
      </w:tr>
      <w:tr w:rsidR="0099125E" w:rsidRPr="002F445F" w14:paraId="35205C99" w14:textId="77777777" w:rsidTr="00FD1B67">
        <w:trPr>
          <w:trHeight w:val="390"/>
        </w:trPr>
        <w:tc>
          <w:tcPr>
            <w:cnfStyle w:val="001000000000" w:firstRow="0" w:lastRow="0" w:firstColumn="1" w:lastColumn="0" w:oddVBand="0" w:evenVBand="0" w:oddHBand="0" w:evenHBand="0" w:firstRowFirstColumn="0" w:firstRowLastColumn="0" w:lastRowFirstColumn="0" w:lastRowLastColumn="0"/>
            <w:tcW w:w="2640" w:type="dxa"/>
          </w:tcPr>
          <w:p w14:paraId="15A4BED6" w14:textId="4D10BC8F" w:rsidR="0099125E" w:rsidRPr="0099125E" w:rsidRDefault="0099125E" w:rsidP="0099125E">
            <w:pPr>
              <w:pStyle w:val="BodyText"/>
              <w:rPr>
                <w:rFonts w:cs="Poppins"/>
                <w:b w:val="0"/>
                <w:bCs w:val="0"/>
                <w:sz w:val="24"/>
                <w:szCs w:val="24"/>
              </w:rPr>
            </w:pPr>
            <w:r w:rsidRPr="0099125E">
              <w:rPr>
                <w:rFonts w:cs="Poppins"/>
                <w:b w:val="0"/>
                <w:bCs w:val="0"/>
                <w:sz w:val="24"/>
                <w:szCs w:val="24"/>
              </w:rPr>
              <w:t>Reduced environmental damage </w:t>
            </w:r>
          </w:p>
        </w:tc>
        <w:tc>
          <w:tcPr>
            <w:tcW w:w="4101" w:type="dxa"/>
          </w:tcPr>
          <w:p w14:paraId="161E98D0" w14:textId="03BCD716" w:rsidR="0099125E" w:rsidRPr="0099125E" w:rsidRDefault="0099125E" w:rsidP="0099125E">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99125E">
              <w:rPr>
                <w:rFonts w:ascii="Times New Roman" w:hAnsi="Times New Roman" w:cs="Times New Roman"/>
                <w:b/>
              </w:rPr>
              <w:t>​</w:t>
            </w:r>
            <w:sdt>
              <w:sdtPr>
                <w:rPr>
                  <w:rStyle w:val="Boldnormaltext"/>
                  <w:rFonts w:ascii="Poppins" w:hAnsi="Poppins" w:cs="Poppins"/>
                </w:rPr>
                <w:alias w:val="Impact assessment"/>
                <w:tag w:val="Impact assessment"/>
                <w:id w:val="-1573738800"/>
                <w:placeholder>
                  <w:docPart w:val="974B35CDE0804F4D8FF20722DB263FA0"/>
                </w:placeholder>
                <w:dropDownList>
                  <w:listItem w:displayText="Positive" w:value="Positive"/>
                  <w:listItem w:displayText="Negative" w:value="Negative"/>
                  <w:listItem w:displayText="Neutral" w:value="Neutral"/>
                </w:dropDownList>
              </w:sdtPr>
              <w:sdtContent>
                <w:r w:rsidRPr="0099125E">
                  <w:rPr>
                    <w:rStyle w:val="Boldnormaltext"/>
                    <w:rFonts w:ascii="Poppins" w:hAnsi="Poppins" w:cs="Poppins"/>
                  </w:rPr>
                  <w:t>Positive</w:t>
                </w:r>
              </w:sdtContent>
            </w:sdt>
          </w:p>
          <w:p w14:paraId="71D69E33" w14:textId="2ED91564" w:rsidR="0099125E" w:rsidRPr="0099125E" w:rsidRDefault="0099125E" w:rsidP="0099125E">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4"/>
                <w:szCs w:val="24"/>
              </w:rPr>
            </w:pPr>
            <w:r w:rsidRPr="0099125E">
              <w:rPr>
                <w:rFonts w:cs="Poppins"/>
                <w:sz w:val="24"/>
                <w:szCs w:val="24"/>
              </w:rPr>
              <w:t xml:space="preserve">This proposal will reduce barriers to entry for low-carbon connections. The increased number of low-carbon Generators will reduce greenhouse gas emissions and reduce the impact of climate change. </w:t>
            </w:r>
          </w:p>
        </w:tc>
        <w:tc>
          <w:tcPr>
            <w:tcW w:w="2995" w:type="dxa"/>
          </w:tcPr>
          <w:p w14:paraId="0401FB9F" w14:textId="77777777" w:rsidR="00B72208" w:rsidRPr="00B72208" w:rsidRDefault="00B72208" w:rsidP="00B72208">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highlight w:val="yellow"/>
              </w:rPr>
            </w:pPr>
            <w:r w:rsidRPr="00B72208">
              <w:rPr>
                <w:rStyle w:val="Boldnormaltext"/>
                <w:rFonts w:ascii="Poppins" w:hAnsi="Poppins" w:cs="Poppins"/>
                <w:highlight w:val="yellow"/>
              </w:rPr>
              <w:t>[T</w:t>
            </w:r>
            <w:r w:rsidRPr="00B72208">
              <w:rPr>
                <w:rStyle w:val="Boldnormaltext"/>
                <w:rFonts w:ascii="Poppins" w:hAnsi="Poppins"/>
                <w:highlight w:val="yellow"/>
              </w:rPr>
              <w:t>BD]</w:t>
            </w:r>
          </w:p>
          <w:p w14:paraId="517FF680" w14:textId="5B1EC4C6" w:rsidR="0099125E" w:rsidRPr="00A10B1C" w:rsidRDefault="00B72208" w:rsidP="00B72208">
            <w:p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B72208">
              <w:rPr>
                <w:rStyle w:val="Boldnormaltext"/>
                <w:rFonts w:ascii="Poppins" w:hAnsi="Poppins"/>
                <w:b w:val="0"/>
                <w:bCs/>
                <w:highlight w:val="yellow"/>
              </w:rPr>
              <w:t>[…]</w:t>
            </w:r>
          </w:p>
        </w:tc>
      </w:tr>
      <w:tr w:rsidR="0099125E" w:rsidRPr="002F445F" w14:paraId="1FFE056F" w14:textId="77777777" w:rsidTr="00FD1B67">
        <w:trPr>
          <w:trHeight w:val="390"/>
        </w:trPr>
        <w:tc>
          <w:tcPr>
            <w:cnfStyle w:val="001000000000" w:firstRow="0" w:lastRow="0" w:firstColumn="1" w:lastColumn="0" w:oddVBand="0" w:evenVBand="0" w:oddHBand="0" w:evenHBand="0" w:firstRowFirstColumn="0" w:firstRowLastColumn="0" w:lastRowFirstColumn="0" w:lastRowLastColumn="0"/>
            <w:tcW w:w="2640" w:type="dxa"/>
          </w:tcPr>
          <w:p w14:paraId="358D3A17" w14:textId="769F6995" w:rsidR="0099125E" w:rsidRPr="0099125E" w:rsidRDefault="0099125E" w:rsidP="0099125E">
            <w:pPr>
              <w:pStyle w:val="BodyText"/>
              <w:rPr>
                <w:rFonts w:cs="Poppins"/>
                <w:b w:val="0"/>
                <w:bCs w:val="0"/>
                <w:sz w:val="24"/>
                <w:szCs w:val="24"/>
              </w:rPr>
            </w:pPr>
            <w:r w:rsidRPr="0099125E">
              <w:rPr>
                <w:rFonts w:cs="Poppins"/>
                <w:b w:val="0"/>
                <w:bCs w:val="0"/>
                <w:sz w:val="24"/>
                <w:szCs w:val="24"/>
              </w:rPr>
              <w:t xml:space="preserve">Improved quality of service  </w:t>
            </w:r>
          </w:p>
        </w:tc>
        <w:tc>
          <w:tcPr>
            <w:tcW w:w="4101" w:type="dxa"/>
          </w:tcPr>
          <w:sdt>
            <w:sdtPr>
              <w:rPr>
                <w:rStyle w:val="Boldnormaltext"/>
                <w:rFonts w:ascii="Poppins" w:hAnsi="Poppins" w:cs="Poppins"/>
              </w:rPr>
              <w:alias w:val="Impact assessment"/>
              <w:tag w:val="Impact assessment"/>
              <w:id w:val="1712995486"/>
              <w:placeholder>
                <w:docPart w:val="577906265776497389331142082C9A5F"/>
              </w:placeholder>
              <w:dropDownList>
                <w:listItem w:displayText="Positive" w:value="Positive"/>
                <w:listItem w:displayText="Negative" w:value="Negative"/>
                <w:listItem w:displayText="Neutral" w:value="Neutral"/>
              </w:dropDownList>
            </w:sdtPr>
            <w:sdtContent>
              <w:p w14:paraId="5CA26938" w14:textId="77777777" w:rsidR="0099125E" w:rsidRPr="0099125E" w:rsidRDefault="0099125E" w:rsidP="0099125E">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99125E">
                  <w:rPr>
                    <w:rStyle w:val="Boldnormaltext"/>
                    <w:rFonts w:ascii="Poppins" w:hAnsi="Poppins" w:cs="Poppins"/>
                  </w:rPr>
                  <w:t>Positive</w:t>
                </w:r>
              </w:p>
            </w:sdtContent>
          </w:sdt>
          <w:p w14:paraId="39B69DC9" w14:textId="5DAB7F5B" w:rsidR="0099125E" w:rsidRPr="0099125E" w:rsidRDefault="0099125E" w:rsidP="0099125E">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4"/>
                <w:szCs w:val="24"/>
              </w:rPr>
            </w:pPr>
            <w:r w:rsidRPr="0099125E">
              <w:rPr>
                <w:rFonts w:cs="Poppins"/>
                <w:sz w:val="24"/>
                <w:szCs w:val="24"/>
              </w:rPr>
              <w:t xml:space="preserve">The proposal provides clarity on the framework for Transmission Reinforcement cost recovery and ensures all customers are treated fairly. Reduced ambiguity and financial certainty should support all customers, particularly community energy and small and medium-sized businesses.  </w:t>
            </w:r>
          </w:p>
        </w:tc>
        <w:tc>
          <w:tcPr>
            <w:tcW w:w="2995" w:type="dxa"/>
          </w:tcPr>
          <w:p w14:paraId="7E942B53" w14:textId="77777777" w:rsidR="00B72208" w:rsidRPr="00B72208" w:rsidRDefault="00B72208" w:rsidP="00B72208">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highlight w:val="yellow"/>
              </w:rPr>
            </w:pPr>
            <w:r w:rsidRPr="00B72208">
              <w:rPr>
                <w:rStyle w:val="Boldnormaltext"/>
                <w:rFonts w:ascii="Poppins" w:hAnsi="Poppins" w:cs="Poppins"/>
                <w:highlight w:val="yellow"/>
              </w:rPr>
              <w:t>[T</w:t>
            </w:r>
            <w:r w:rsidRPr="00B72208">
              <w:rPr>
                <w:rStyle w:val="Boldnormaltext"/>
                <w:rFonts w:ascii="Poppins" w:hAnsi="Poppins"/>
                <w:highlight w:val="yellow"/>
              </w:rPr>
              <w:t>BD]</w:t>
            </w:r>
          </w:p>
          <w:p w14:paraId="2DD00289" w14:textId="154F022C" w:rsidR="0099125E" w:rsidRDefault="00B72208" w:rsidP="00B72208">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rPr>
            </w:pPr>
            <w:r w:rsidRPr="00B72208">
              <w:rPr>
                <w:rStyle w:val="Boldnormaltext"/>
                <w:rFonts w:ascii="Poppins" w:hAnsi="Poppins"/>
                <w:b w:val="0"/>
                <w:bCs/>
                <w:highlight w:val="yellow"/>
              </w:rPr>
              <w:t>[…]</w:t>
            </w:r>
          </w:p>
        </w:tc>
      </w:tr>
    </w:tbl>
    <w:p w14:paraId="6F23279F" w14:textId="77777777" w:rsidR="003A1736" w:rsidRDefault="003A1736" w:rsidP="00CA0621">
      <w:pPr>
        <w:rPr>
          <w:rFonts w:ascii="Poppins" w:hAnsi="Poppins" w:cs="Poppins"/>
          <w:i/>
          <w:noProof/>
          <w:color w:val="7030A0"/>
        </w:rPr>
      </w:pPr>
    </w:p>
    <w:p w14:paraId="32B3F6B9" w14:textId="77777777" w:rsidR="00CD72AA" w:rsidRPr="004E368A" w:rsidRDefault="00CD72AA" w:rsidP="00CD72AA">
      <w:pPr>
        <w:pStyle w:val="Heading2"/>
        <w:rPr>
          <w:rFonts w:ascii="Poppins" w:hAnsi="Poppins" w:cs="Poppins"/>
          <w:color w:val="3F0731"/>
          <w:szCs w:val="28"/>
        </w:rPr>
      </w:pPr>
      <w:bookmarkStart w:id="36" w:name="_Toc207608727"/>
      <w:r w:rsidRPr="004E368A">
        <w:rPr>
          <w:rFonts w:ascii="Poppins" w:hAnsi="Poppins" w:cs="Poppins"/>
          <w:color w:val="3F0731"/>
          <w:szCs w:val="28"/>
        </w:rPr>
        <w:t>Workgroup Vote</w:t>
      </w:r>
      <w:bookmarkEnd w:id="36"/>
    </w:p>
    <w:p w14:paraId="3D0CE9B4" w14:textId="77777777" w:rsidR="00CD72AA" w:rsidRPr="008F33B2" w:rsidRDefault="00CD72AA" w:rsidP="00CD72AA">
      <w:pPr>
        <w:rPr>
          <w:rFonts w:ascii="Poppins" w:hAnsi="Poppins" w:cs="Poppins"/>
          <w:bCs/>
          <w:kern w:val="32"/>
        </w:rPr>
      </w:pPr>
      <w:bookmarkStart w:id="37" w:name="_Hlk50542616"/>
      <w:r w:rsidRPr="008F33B2">
        <w:rPr>
          <w:rFonts w:ascii="Poppins" w:hAnsi="Poppins" w:cs="Poppins"/>
          <w:bCs/>
          <w:kern w:val="32"/>
        </w:rPr>
        <w:t xml:space="preserve">The </w:t>
      </w:r>
      <w:r>
        <w:rPr>
          <w:rFonts w:ascii="Poppins" w:hAnsi="Poppins" w:cs="Poppins"/>
          <w:bCs/>
          <w:kern w:val="32"/>
        </w:rPr>
        <w:t>W</w:t>
      </w:r>
      <w:r w:rsidRPr="008F33B2">
        <w:rPr>
          <w:rFonts w:ascii="Poppins" w:hAnsi="Poppins" w:cs="Poppins"/>
          <w:bCs/>
          <w:kern w:val="32"/>
        </w:rPr>
        <w:t xml:space="preserve">orkgroup met on </w:t>
      </w:r>
      <w:r w:rsidR="00A4201C">
        <w:rPr>
          <w:rFonts w:ascii="Poppins" w:hAnsi="Poppins" w:cs="Poppins"/>
          <w:bCs/>
          <w:kern w:val="32"/>
          <w:highlight w:val="yellow"/>
        </w:rPr>
        <w:t>DD Month Year</w:t>
      </w:r>
      <w:r w:rsidRPr="008F33B2">
        <w:rPr>
          <w:rFonts w:ascii="Poppins" w:hAnsi="Poppins" w:cs="Poppins"/>
          <w:bCs/>
          <w:kern w:val="32"/>
        </w:rPr>
        <w:t xml:space="preserve"> to carry out their </w:t>
      </w:r>
      <w:r>
        <w:rPr>
          <w:rFonts w:ascii="Poppins" w:hAnsi="Poppins" w:cs="Poppins"/>
          <w:bCs/>
          <w:kern w:val="32"/>
        </w:rPr>
        <w:t>W</w:t>
      </w:r>
      <w:r w:rsidRPr="008F33B2">
        <w:rPr>
          <w:rFonts w:ascii="Poppins" w:hAnsi="Poppins" w:cs="Poppins"/>
          <w:bCs/>
          <w:kern w:val="32"/>
        </w:rPr>
        <w:t xml:space="preserve">orkgroup </w:t>
      </w:r>
      <w:r>
        <w:rPr>
          <w:rFonts w:ascii="Poppins" w:hAnsi="Poppins" w:cs="Poppins"/>
          <w:bCs/>
          <w:kern w:val="32"/>
        </w:rPr>
        <w:t>V</w:t>
      </w:r>
      <w:r w:rsidRPr="008F33B2">
        <w:rPr>
          <w:rFonts w:ascii="Poppins" w:hAnsi="Poppins" w:cs="Poppins"/>
          <w:bCs/>
          <w:kern w:val="32"/>
        </w:rPr>
        <w:t xml:space="preserve">ote. The full Workgroup </w:t>
      </w:r>
      <w:r>
        <w:rPr>
          <w:rFonts w:ascii="Poppins" w:hAnsi="Poppins" w:cs="Poppins"/>
          <w:bCs/>
          <w:kern w:val="32"/>
        </w:rPr>
        <w:t>V</w:t>
      </w:r>
      <w:r w:rsidRPr="008F33B2">
        <w:rPr>
          <w:rFonts w:ascii="Poppins" w:hAnsi="Poppins" w:cs="Poppins"/>
          <w:bCs/>
          <w:kern w:val="32"/>
        </w:rPr>
        <w:t xml:space="preserve">ote can be found in </w:t>
      </w:r>
      <w:r w:rsidRPr="00A4201C">
        <w:rPr>
          <w:rFonts w:ascii="Poppins" w:hAnsi="Poppins" w:cs="Poppins"/>
          <w:b/>
          <w:kern w:val="32"/>
          <w:highlight w:val="yellow"/>
        </w:rPr>
        <w:t>Annex XX</w:t>
      </w:r>
      <w:r w:rsidRPr="008F33B2">
        <w:rPr>
          <w:rFonts w:ascii="Poppins" w:hAnsi="Poppins" w:cs="Poppins"/>
          <w:bCs/>
          <w:kern w:val="32"/>
        </w:rPr>
        <w:t xml:space="preserve">. The table below provides a summary of the Workgroup </w:t>
      </w:r>
      <w:r>
        <w:rPr>
          <w:rFonts w:ascii="Poppins" w:hAnsi="Poppins" w:cs="Poppins"/>
          <w:bCs/>
          <w:kern w:val="32"/>
        </w:rPr>
        <w:t>M</w:t>
      </w:r>
      <w:r w:rsidRPr="008F33B2">
        <w:rPr>
          <w:rFonts w:ascii="Poppins" w:hAnsi="Poppins" w:cs="Poppins"/>
          <w:bCs/>
          <w:kern w:val="32"/>
        </w:rPr>
        <w:t>embers view on the best option to implement this change.</w:t>
      </w:r>
    </w:p>
    <w:p w14:paraId="42EEE0F2" w14:textId="77777777" w:rsidR="00CD72AA" w:rsidRPr="007E6538" w:rsidRDefault="00CD72AA" w:rsidP="00CD72AA">
      <w:pPr>
        <w:spacing w:after="0"/>
        <w:rPr>
          <w:rFonts w:ascii="Poppins" w:hAnsi="Poppins" w:cs="Poppins"/>
          <w:kern w:val="32"/>
        </w:rPr>
      </w:pPr>
      <w:r w:rsidRPr="007E6538">
        <w:rPr>
          <w:rFonts w:ascii="Poppins" w:hAnsi="Poppins" w:cs="Poppins"/>
          <w:kern w:val="32"/>
        </w:rPr>
        <w:t>For reference the Applicable CUSC (charging) Objectives are:  </w:t>
      </w:r>
    </w:p>
    <w:p w14:paraId="61387A28" w14:textId="77777777" w:rsidR="00CD72AA" w:rsidRPr="007E6538" w:rsidRDefault="00CD72AA" w:rsidP="00CD72AA">
      <w:pPr>
        <w:numPr>
          <w:ilvl w:val="0"/>
          <w:numId w:val="27"/>
        </w:numPr>
        <w:suppressAutoHyphens/>
        <w:autoSpaceDN w:val="0"/>
        <w:spacing w:after="0" w:line="254" w:lineRule="auto"/>
        <w:textAlignment w:val="baseline"/>
        <w:rPr>
          <w:rFonts w:ascii="Poppins" w:hAnsi="Poppins" w:cs="Poppins"/>
          <w:kern w:val="32"/>
        </w:rPr>
      </w:pPr>
      <w:r w:rsidRPr="007E6538">
        <w:rPr>
          <w:rFonts w:ascii="Poppins" w:hAnsi="Poppins" w:cs="Poppins"/>
          <w:i/>
          <w:kern w:val="32"/>
        </w:rPr>
        <w:lastRenderedPageBreak/>
        <w:t>That compliance with the use of system charging methodology facilitates effective competition in the generation and supply of electricity and (so far as is consistent therewith) facilitates competition in the sale, distribution and purchase of electricity; </w:t>
      </w:r>
      <w:r w:rsidRPr="007E6538">
        <w:rPr>
          <w:rFonts w:ascii="Poppins" w:hAnsi="Poppins" w:cs="Poppins"/>
          <w:kern w:val="32"/>
        </w:rPr>
        <w:t> </w:t>
      </w:r>
    </w:p>
    <w:p w14:paraId="4EB32CFE" w14:textId="77777777" w:rsidR="00CD72AA" w:rsidRPr="007E6538" w:rsidRDefault="00CD72AA" w:rsidP="00CD72AA">
      <w:pPr>
        <w:numPr>
          <w:ilvl w:val="0"/>
          <w:numId w:val="27"/>
        </w:numPr>
        <w:suppressAutoHyphens/>
        <w:autoSpaceDN w:val="0"/>
        <w:spacing w:after="0" w:line="254" w:lineRule="auto"/>
        <w:textAlignment w:val="baseline"/>
        <w:rPr>
          <w:rFonts w:ascii="Poppins" w:hAnsi="Poppins" w:cs="Poppins"/>
          <w:kern w:val="32"/>
        </w:rPr>
      </w:pPr>
      <w:r w:rsidRPr="007E6538">
        <w:rPr>
          <w:rFonts w:ascii="Poppins" w:hAnsi="Poppins" w:cs="Poppins"/>
          <w:i/>
          <w:kern w:val="32"/>
        </w:rPr>
        <w:t>That compliance with the use of system charging methodology results in charges which reflect, as far as is reasonably practicable, the costs (excluding any payments between transmission licensees which are made under and accordance with the STC) incurred by transmission licensees in their transmission businesses and which are compatible with standard licence condition C11 requirements of a connect and manage connection); </w:t>
      </w:r>
      <w:r w:rsidRPr="007E6538">
        <w:rPr>
          <w:rFonts w:ascii="Poppins" w:hAnsi="Poppins" w:cs="Poppins"/>
          <w:kern w:val="32"/>
        </w:rPr>
        <w:t> </w:t>
      </w:r>
    </w:p>
    <w:p w14:paraId="4AD1EBA8" w14:textId="77777777" w:rsidR="00CD72AA" w:rsidRPr="007E6538" w:rsidRDefault="00CD72AA" w:rsidP="00CD72AA">
      <w:pPr>
        <w:numPr>
          <w:ilvl w:val="0"/>
          <w:numId w:val="27"/>
        </w:numPr>
        <w:suppressAutoHyphens/>
        <w:autoSpaceDN w:val="0"/>
        <w:spacing w:after="0" w:line="254" w:lineRule="auto"/>
        <w:textAlignment w:val="baseline"/>
        <w:rPr>
          <w:rFonts w:ascii="Poppins" w:hAnsi="Poppins" w:cs="Poppins"/>
          <w:kern w:val="32"/>
        </w:rPr>
      </w:pPr>
      <w:r w:rsidRPr="007E6538">
        <w:rPr>
          <w:rFonts w:ascii="Poppins" w:hAnsi="Poppins" w:cs="Poppins"/>
          <w:i/>
          <w:kern w:val="32"/>
        </w:rPr>
        <w:t>That, so far as is consistent with sub-paragraphs (a) and (b), the use of system charging methodology, as far as is reasonably practicable, properly takes account of the developments in transmission licensees’ transmission businesses and the ISOP business*;</w:t>
      </w:r>
      <w:r w:rsidRPr="007E6538">
        <w:rPr>
          <w:rFonts w:ascii="Poppins" w:hAnsi="Poppins" w:cs="Poppins"/>
          <w:kern w:val="32"/>
        </w:rPr>
        <w:t> </w:t>
      </w:r>
    </w:p>
    <w:p w14:paraId="724A6EA2" w14:textId="77777777" w:rsidR="00CD72AA" w:rsidRPr="007E6538" w:rsidRDefault="00CD72AA" w:rsidP="00CD72AA">
      <w:pPr>
        <w:numPr>
          <w:ilvl w:val="0"/>
          <w:numId w:val="27"/>
        </w:numPr>
        <w:suppressAutoHyphens/>
        <w:autoSpaceDN w:val="0"/>
        <w:spacing w:after="0" w:line="254" w:lineRule="auto"/>
        <w:textAlignment w:val="baseline"/>
        <w:rPr>
          <w:rFonts w:ascii="Poppins" w:hAnsi="Poppins" w:cs="Poppins"/>
          <w:kern w:val="32"/>
        </w:rPr>
      </w:pPr>
      <w:r w:rsidRPr="007E6538">
        <w:rPr>
          <w:rFonts w:ascii="Poppins" w:hAnsi="Poppins" w:cs="Poppins"/>
          <w:i/>
          <w:kern w:val="32"/>
        </w:rPr>
        <w:t>Compliance with the Electricity Regulation and any relevant legally binding decision of the European Commission and/or the Agency **; and </w:t>
      </w:r>
      <w:r w:rsidRPr="007E6538">
        <w:rPr>
          <w:rFonts w:ascii="Poppins" w:hAnsi="Poppins" w:cs="Poppins"/>
          <w:kern w:val="32"/>
        </w:rPr>
        <w:t> </w:t>
      </w:r>
    </w:p>
    <w:p w14:paraId="2C833E8E" w14:textId="77777777" w:rsidR="00CD72AA" w:rsidRPr="007E6538" w:rsidRDefault="00CD72AA" w:rsidP="00CD72AA">
      <w:pPr>
        <w:numPr>
          <w:ilvl w:val="0"/>
          <w:numId w:val="27"/>
        </w:numPr>
        <w:suppressAutoHyphens/>
        <w:autoSpaceDN w:val="0"/>
        <w:spacing w:after="0" w:line="254" w:lineRule="auto"/>
        <w:textAlignment w:val="baseline"/>
        <w:rPr>
          <w:rFonts w:ascii="Poppins" w:hAnsi="Poppins" w:cs="Poppins"/>
          <w:kern w:val="32"/>
        </w:rPr>
      </w:pPr>
      <w:r w:rsidRPr="007E6538">
        <w:rPr>
          <w:rFonts w:ascii="Poppins" w:hAnsi="Poppins" w:cs="Poppins"/>
          <w:i/>
          <w:kern w:val="32"/>
        </w:rPr>
        <w:t>Promoting efficiency in the implementation and administration of the system charging methodology. </w:t>
      </w:r>
      <w:r w:rsidRPr="007E6538">
        <w:rPr>
          <w:rFonts w:ascii="Poppins" w:hAnsi="Poppins" w:cs="Poppins"/>
          <w:kern w:val="32"/>
        </w:rPr>
        <w:t> </w:t>
      </w:r>
    </w:p>
    <w:p w14:paraId="4203913F" w14:textId="77777777" w:rsidR="00CD72AA" w:rsidRPr="007E6538" w:rsidRDefault="00CD72AA" w:rsidP="00CD72AA">
      <w:pPr>
        <w:spacing w:after="0"/>
        <w:ind w:left="720"/>
        <w:rPr>
          <w:rFonts w:ascii="Poppins" w:hAnsi="Poppins" w:cs="Poppins"/>
          <w:kern w:val="32"/>
        </w:rPr>
      </w:pPr>
      <w:r w:rsidRPr="007E6538">
        <w:rPr>
          <w:rFonts w:ascii="Poppins" w:hAnsi="Poppins" w:cs="Poppins"/>
          <w:i/>
          <w:kern w:val="32"/>
        </w:rPr>
        <w:t>* See Electricity System Operator Licence</w:t>
      </w:r>
      <w:r w:rsidRPr="007E6538">
        <w:rPr>
          <w:rFonts w:ascii="Poppins" w:hAnsi="Poppins" w:cs="Poppins"/>
          <w:kern w:val="32"/>
        </w:rPr>
        <w:t> </w:t>
      </w:r>
    </w:p>
    <w:p w14:paraId="1DE7F88D" w14:textId="77777777" w:rsidR="00CD72AA" w:rsidRPr="007E6538" w:rsidRDefault="00CD72AA" w:rsidP="00CD72AA">
      <w:pPr>
        <w:spacing w:after="0"/>
        <w:ind w:left="720"/>
        <w:rPr>
          <w:rFonts w:ascii="Poppins" w:hAnsi="Poppins" w:cs="Poppins"/>
          <w:kern w:val="32"/>
        </w:rPr>
      </w:pPr>
      <w:r w:rsidRPr="007E6538">
        <w:rPr>
          <w:rFonts w:ascii="Poppins" w:hAnsi="Poppins" w:cs="Poppins"/>
          <w:i/>
          <w:kern w:val="32"/>
        </w:rPr>
        <w:t xml:space="preserve">**The Electricity Regulation referred to in objective (g) is Regulation (EU) 2019/943 of the European Parliament and of the Council of 5 June 2019 on the internal market for electricity (recast) as it has effect immediately before IP completion day as read with the modifications set out in the SI 2020/1006. </w:t>
      </w:r>
      <w:r w:rsidRPr="007E6538">
        <w:rPr>
          <w:rFonts w:ascii="Poppins" w:hAnsi="Poppins" w:cs="Poppins"/>
          <w:kern w:val="32"/>
        </w:rPr>
        <w:t> </w:t>
      </w:r>
      <w:r w:rsidRPr="007E6538">
        <w:rPr>
          <w:rFonts w:ascii="Poppins" w:hAnsi="Poppins" w:cs="Poppins"/>
          <w:kern w:val="32"/>
        </w:rPr>
        <w:br/>
        <w:t>   </w:t>
      </w:r>
    </w:p>
    <w:p w14:paraId="0607E6E4" w14:textId="4088F856" w:rsidR="00CD72AA" w:rsidRPr="00A85DD6" w:rsidRDefault="00CD72AA" w:rsidP="00CD72AA">
      <w:pPr>
        <w:rPr>
          <w:rFonts w:ascii="Poppins" w:hAnsi="Poppins" w:cs="Poppins"/>
        </w:rPr>
      </w:pPr>
      <w:r w:rsidRPr="008F33B2">
        <w:rPr>
          <w:rFonts w:ascii="Poppins" w:hAnsi="Poppins" w:cs="Poppins"/>
        </w:rPr>
        <w:t xml:space="preserve">The Workgroup concluded </w:t>
      </w:r>
      <w:r w:rsidRPr="008F33B2">
        <w:rPr>
          <w:rFonts w:ascii="Poppins" w:hAnsi="Poppins" w:cs="Poppins"/>
          <w:highlight w:val="yellow"/>
        </w:rPr>
        <w:t xml:space="preserve">unanimously/by </w:t>
      </w:r>
      <w:r w:rsidRPr="0017061D">
        <w:rPr>
          <w:rFonts w:ascii="Poppins" w:hAnsi="Poppins" w:cs="Poppins"/>
          <w:highlight w:val="yellow"/>
        </w:rPr>
        <w:t>majority</w:t>
      </w:r>
      <w:r w:rsidR="0017061D" w:rsidRPr="0017061D">
        <w:rPr>
          <w:rFonts w:ascii="Poppins" w:hAnsi="Poppins" w:cs="Poppins"/>
          <w:highlight w:val="yellow"/>
        </w:rPr>
        <w:t xml:space="preserve"> (out of X votes)</w:t>
      </w:r>
      <w:r w:rsidRPr="008F33B2">
        <w:rPr>
          <w:rFonts w:ascii="Poppins" w:hAnsi="Poppins" w:cs="Poppins"/>
        </w:rPr>
        <w:t xml:space="preserve"> that the </w:t>
      </w:r>
      <w:r w:rsidRPr="00E40CA8">
        <w:rPr>
          <w:rFonts w:ascii="Poppins" w:hAnsi="Poppins" w:cs="Poppins"/>
          <w:highlight w:val="yellow"/>
        </w:rPr>
        <w:t>Original and WACMX</w:t>
      </w:r>
      <w:r w:rsidR="00E40CA8">
        <w:rPr>
          <w:rFonts w:ascii="Poppins" w:hAnsi="Poppins" w:cs="Poppins"/>
        </w:rPr>
        <w:t xml:space="preserve"> </w:t>
      </w:r>
      <w:r w:rsidRPr="008F33B2">
        <w:rPr>
          <w:rFonts w:ascii="Poppins" w:hAnsi="Poppins" w:cs="Poppins"/>
        </w:rPr>
        <w:t>better facilitated the Applicable Objectives than the Baseline.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840"/>
        <w:gridCol w:w="7904"/>
      </w:tblGrid>
      <w:tr w:rsidR="00CD72AA" w:rsidRPr="008F33B2" w14:paraId="0BFB4CE3" w14:textId="77777777">
        <w:trPr>
          <w:trHeight w:val="279"/>
          <w:jc w:val="center"/>
        </w:trPr>
        <w:tc>
          <w:tcPr>
            <w:tcW w:w="944" w:type="pct"/>
            <w:shd w:val="clear" w:color="auto" w:fill="3F0731"/>
            <w:tcMar>
              <w:top w:w="15" w:type="dxa"/>
              <w:left w:w="108" w:type="dxa"/>
              <w:bottom w:w="0" w:type="dxa"/>
              <w:right w:w="108" w:type="dxa"/>
            </w:tcMar>
            <w:hideMark/>
          </w:tcPr>
          <w:p w14:paraId="783160E9" w14:textId="77777777" w:rsidR="00CD72AA" w:rsidRPr="008F33B2" w:rsidRDefault="00CD72AA">
            <w:pPr>
              <w:rPr>
                <w:rFonts w:ascii="Poppins" w:hAnsi="Poppins" w:cs="Poppins"/>
                <w:b/>
                <w:bCs/>
                <w:color w:val="FFFFFF" w:themeColor="background1"/>
              </w:rPr>
            </w:pPr>
            <w:r w:rsidRPr="008F33B2">
              <w:rPr>
                <w:rFonts w:ascii="Poppins" w:hAnsi="Poppins" w:cs="Poppins"/>
                <w:b/>
                <w:color w:val="FFFFFF" w:themeColor="background1"/>
              </w:rPr>
              <w:t>Option</w:t>
            </w:r>
          </w:p>
        </w:tc>
        <w:tc>
          <w:tcPr>
            <w:tcW w:w="4056" w:type="pct"/>
            <w:shd w:val="clear" w:color="auto" w:fill="3F0731"/>
            <w:tcMar>
              <w:top w:w="15" w:type="dxa"/>
              <w:left w:w="108" w:type="dxa"/>
              <w:bottom w:w="0" w:type="dxa"/>
              <w:right w:w="108" w:type="dxa"/>
            </w:tcMar>
            <w:hideMark/>
          </w:tcPr>
          <w:p w14:paraId="195FD1AB" w14:textId="77777777" w:rsidR="00CD72AA" w:rsidRPr="008F33B2" w:rsidRDefault="00CD72AA">
            <w:pPr>
              <w:rPr>
                <w:rFonts w:ascii="Poppins" w:hAnsi="Poppins" w:cs="Poppins"/>
                <w:b/>
                <w:bCs/>
                <w:color w:val="FFFFFF" w:themeColor="background1"/>
              </w:rPr>
            </w:pPr>
            <w:r w:rsidRPr="008F33B2">
              <w:rPr>
                <w:rFonts w:ascii="Poppins" w:hAnsi="Poppins" w:cs="Poppins"/>
                <w:b/>
                <w:color w:val="FFFFFF" w:themeColor="background1"/>
              </w:rPr>
              <w:t>Number of voters that voted this option as better than the Baseline</w:t>
            </w:r>
          </w:p>
        </w:tc>
      </w:tr>
      <w:tr w:rsidR="00CD72AA" w:rsidRPr="008F33B2" w14:paraId="638B67D7" w14:textId="77777777">
        <w:trPr>
          <w:trHeight w:val="70"/>
          <w:jc w:val="center"/>
        </w:trPr>
        <w:tc>
          <w:tcPr>
            <w:tcW w:w="944" w:type="pct"/>
            <w:tcMar>
              <w:top w:w="15" w:type="dxa"/>
              <w:left w:w="108" w:type="dxa"/>
              <w:bottom w:w="0" w:type="dxa"/>
              <w:right w:w="108" w:type="dxa"/>
            </w:tcMar>
            <w:vAlign w:val="center"/>
            <w:hideMark/>
          </w:tcPr>
          <w:p w14:paraId="42C16A0B" w14:textId="77777777" w:rsidR="00CD72AA" w:rsidRPr="008F33B2" w:rsidRDefault="00CD72AA">
            <w:pPr>
              <w:spacing w:after="0"/>
              <w:rPr>
                <w:rFonts w:ascii="Poppins" w:hAnsi="Poppins" w:cs="Poppins"/>
              </w:rPr>
            </w:pPr>
            <w:r w:rsidRPr="008F33B2">
              <w:rPr>
                <w:rFonts w:ascii="Poppins" w:hAnsi="Poppins" w:cs="Poppins"/>
              </w:rPr>
              <w:lastRenderedPageBreak/>
              <w:t>Original</w:t>
            </w:r>
          </w:p>
        </w:tc>
        <w:tc>
          <w:tcPr>
            <w:tcW w:w="4056" w:type="pct"/>
            <w:tcMar>
              <w:top w:w="15" w:type="dxa"/>
              <w:left w:w="108" w:type="dxa"/>
              <w:bottom w:w="0" w:type="dxa"/>
              <w:right w:w="108" w:type="dxa"/>
            </w:tcMar>
            <w:vAlign w:val="center"/>
          </w:tcPr>
          <w:p w14:paraId="110E1013" w14:textId="77777777" w:rsidR="00CD72AA" w:rsidRPr="008F33B2" w:rsidRDefault="00CD72AA">
            <w:pPr>
              <w:spacing w:after="0"/>
              <w:rPr>
                <w:rFonts w:ascii="Poppins" w:hAnsi="Poppins" w:cs="Poppins"/>
              </w:rPr>
            </w:pPr>
          </w:p>
        </w:tc>
      </w:tr>
      <w:tr w:rsidR="00CD72AA" w:rsidRPr="008F33B2" w14:paraId="50A0C0AB" w14:textId="77777777">
        <w:trPr>
          <w:trHeight w:val="55"/>
          <w:jc w:val="center"/>
        </w:trPr>
        <w:tc>
          <w:tcPr>
            <w:tcW w:w="944" w:type="pct"/>
            <w:tcMar>
              <w:top w:w="15" w:type="dxa"/>
              <w:left w:w="108" w:type="dxa"/>
              <w:bottom w:w="0" w:type="dxa"/>
              <w:right w:w="108" w:type="dxa"/>
            </w:tcMar>
            <w:vAlign w:val="center"/>
            <w:hideMark/>
          </w:tcPr>
          <w:p w14:paraId="761B931F" w14:textId="61ABDA1A" w:rsidR="00CD72AA" w:rsidRPr="00E40CA8" w:rsidRDefault="00CD72AA">
            <w:pPr>
              <w:spacing w:after="0"/>
              <w:rPr>
                <w:rFonts w:ascii="Poppins" w:hAnsi="Poppins" w:cs="Poppins"/>
                <w:highlight w:val="yellow"/>
              </w:rPr>
            </w:pPr>
            <w:r w:rsidRPr="00E40CA8">
              <w:rPr>
                <w:rFonts w:ascii="Poppins" w:hAnsi="Poppins" w:cs="Poppins"/>
                <w:highlight w:val="yellow"/>
              </w:rPr>
              <w:t xml:space="preserve">WACMX </w:t>
            </w:r>
          </w:p>
        </w:tc>
        <w:tc>
          <w:tcPr>
            <w:tcW w:w="4056" w:type="pct"/>
            <w:tcMar>
              <w:top w:w="15" w:type="dxa"/>
              <w:left w:w="108" w:type="dxa"/>
              <w:bottom w:w="0" w:type="dxa"/>
              <w:right w:w="108" w:type="dxa"/>
            </w:tcMar>
            <w:vAlign w:val="center"/>
          </w:tcPr>
          <w:p w14:paraId="1AE7FB4F" w14:textId="77777777" w:rsidR="00CD72AA" w:rsidRPr="008F33B2" w:rsidRDefault="00CD72AA">
            <w:pPr>
              <w:spacing w:after="0"/>
              <w:rPr>
                <w:rFonts w:ascii="Poppins" w:hAnsi="Poppins" w:cs="Poppins"/>
              </w:rPr>
            </w:pPr>
          </w:p>
        </w:tc>
      </w:tr>
      <w:tr w:rsidR="00CD72AA" w:rsidRPr="008F33B2" w14:paraId="7FE255C1" w14:textId="77777777">
        <w:trPr>
          <w:trHeight w:val="70"/>
          <w:jc w:val="center"/>
        </w:trPr>
        <w:tc>
          <w:tcPr>
            <w:tcW w:w="944" w:type="pct"/>
            <w:tcMar>
              <w:top w:w="15" w:type="dxa"/>
              <w:left w:w="108" w:type="dxa"/>
              <w:bottom w:w="0" w:type="dxa"/>
              <w:right w:w="108" w:type="dxa"/>
            </w:tcMar>
            <w:vAlign w:val="center"/>
            <w:hideMark/>
          </w:tcPr>
          <w:p w14:paraId="420C3816" w14:textId="18DAEFA3" w:rsidR="00CD72AA" w:rsidRPr="00E40CA8" w:rsidRDefault="00CD72AA">
            <w:pPr>
              <w:spacing w:after="0"/>
              <w:rPr>
                <w:rFonts w:ascii="Poppins" w:hAnsi="Poppins" w:cs="Poppins"/>
                <w:highlight w:val="yellow"/>
              </w:rPr>
            </w:pPr>
            <w:r w:rsidRPr="00E40CA8">
              <w:rPr>
                <w:rFonts w:ascii="Poppins" w:hAnsi="Poppins" w:cs="Poppins"/>
                <w:highlight w:val="yellow"/>
              </w:rPr>
              <w:t xml:space="preserve">WACMX </w:t>
            </w:r>
          </w:p>
        </w:tc>
        <w:tc>
          <w:tcPr>
            <w:tcW w:w="4056" w:type="pct"/>
            <w:tcMar>
              <w:top w:w="15" w:type="dxa"/>
              <w:left w:w="108" w:type="dxa"/>
              <w:bottom w:w="0" w:type="dxa"/>
              <w:right w:w="108" w:type="dxa"/>
            </w:tcMar>
            <w:vAlign w:val="center"/>
          </w:tcPr>
          <w:p w14:paraId="69D08745" w14:textId="77777777" w:rsidR="00CD72AA" w:rsidRPr="008F33B2" w:rsidRDefault="00CD72AA">
            <w:pPr>
              <w:spacing w:after="0"/>
              <w:rPr>
                <w:rFonts w:ascii="Poppins" w:hAnsi="Poppins" w:cs="Poppins"/>
              </w:rPr>
            </w:pPr>
          </w:p>
        </w:tc>
        <w:bookmarkEnd w:id="37"/>
      </w:tr>
    </w:tbl>
    <w:p w14:paraId="2900B856" w14:textId="77777777" w:rsidR="00077F45" w:rsidRDefault="00077F45" w:rsidP="00CA0621">
      <w:pPr>
        <w:rPr>
          <w:rFonts w:ascii="Poppins" w:hAnsi="Poppins" w:cs="Poppins"/>
          <w:i/>
          <w:noProof/>
          <w:color w:val="7030A0"/>
        </w:rPr>
      </w:pPr>
    </w:p>
    <w:p w14:paraId="1BAC9263" w14:textId="77777777" w:rsidR="00CA0621" w:rsidRPr="00DE2E99" w:rsidRDefault="00CA0621" w:rsidP="00CA0621">
      <w:pPr>
        <w:pStyle w:val="CA4"/>
        <w:shd w:val="clear" w:color="auto" w:fill="3F0731"/>
        <w:rPr>
          <w:rFonts w:ascii="Poppins" w:hAnsi="Poppins" w:cs="Poppins"/>
        </w:rPr>
      </w:pPr>
      <w:bookmarkStart w:id="38" w:name="_Toc207608728"/>
      <w:r w:rsidRPr="00DE2E99">
        <w:rPr>
          <w:rFonts w:ascii="Poppins" w:hAnsi="Poppins" w:cs="Poppins"/>
        </w:rPr>
        <w:t>When will this change take place?</w:t>
      </w:r>
      <w:bookmarkEnd w:id="38"/>
    </w:p>
    <w:p w14:paraId="46789CF5" w14:textId="77777777" w:rsidR="00CA0621" w:rsidRPr="00FD0D1A" w:rsidRDefault="00CA0621" w:rsidP="00CA0621">
      <w:pPr>
        <w:rPr>
          <w:rFonts w:ascii="Poppins" w:hAnsi="Poppins" w:cs="Poppins"/>
          <w:b/>
          <w:color w:val="000000" w:themeColor="text1"/>
        </w:rPr>
      </w:pPr>
      <w:r w:rsidRPr="00FD0D1A">
        <w:rPr>
          <w:rFonts w:ascii="Poppins" w:hAnsi="Poppins" w:cs="Poppins"/>
          <w:b/>
          <w:color w:val="000000" w:themeColor="text1"/>
        </w:rPr>
        <w:t>Implementation date</w:t>
      </w:r>
    </w:p>
    <w:p w14:paraId="192E852A" w14:textId="77777777" w:rsidR="00671D25" w:rsidRPr="00671D25" w:rsidRDefault="00671D25" w:rsidP="00671D25">
      <w:pPr>
        <w:tabs>
          <w:tab w:val="left" w:pos="2820"/>
        </w:tabs>
        <w:rPr>
          <w:rFonts w:ascii="Poppins" w:hAnsi="Poppins" w:cs="Poppins"/>
        </w:rPr>
      </w:pPr>
      <w:r w:rsidRPr="00671D25">
        <w:rPr>
          <w:rFonts w:ascii="Poppins" w:hAnsi="Poppins" w:cs="Poppins"/>
        </w:rPr>
        <w:t>01 April 2027</w:t>
      </w:r>
    </w:p>
    <w:p w14:paraId="5EB72E8F" w14:textId="77777777" w:rsidR="00CA0621" w:rsidRPr="00FD0D1A" w:rsidRDefault="00CA0621" w:rsidP="00CA0621">
      <w:pPr>
        <w:rPr>
          <w:rFonts w:ascii="Poppins" w:hAnsi="Poppins" w:cs="Poppins"/>
          <w:b/>
          <w:color w:val="000000" w:themeColor="text1"/>
        </w:rPr>
      </w:pPr>
      <w:r w:rsidRPr="00FD0D1A">
        <w:rPr>
          <w:rFonts w:ascii="Poppins" w:hAnsi="Poppins" w:cs="Poppins"/>
          <w:b/>
          <w:color w:val="000000" w:themeColor="text1"/>
        </w:rPr>
        <w:t>Date decision required by</w:t>
      </w:r>
    </w:p>
    <w:p w14:paraId="4A69CA7C" w14:textId="77777777" w:rsidR="00091BA7" w:rsidRPr="00091BA7" w:rsidRDefault="00091BA7" w:rsidP="00091BA7">
      <w:pPr>
        <w:tabs>
          <w:tab w:val="left" w:pos="2820"/>
        </w:tabs>
        <w:spacing w:line="240" w:lineRule="auto"/>
        <w:rPr>
          <w:rFonts w:ascii="Poppins" w:hAnsi="Poppins" w:cs="Poppins"/>
        </w:rPr>
      </w:pPr>
      <w:r w:rsidRPr="00091BA7">
        <w:rPr>
          <w:rFonts w:ascii="Poppins" w:hAnsi="Poppins" w:cs="Poppins"/>
        </w:rPr>
        <w:t>30 September 2026 (note that ‘</w:t>
      </w:r>
      <w:hyperlink r:id="rId23" w:history="1">
        <w:r w:rsidRPr="00091BA7">
          <w:rPr>
            <w:rStyle w:val="Hyperlink"/>
            <w:rFonts w:ascii="Poppins" w:hAnsi="Poppins" w:cs="Poppins"/>
          </w:rPr>
          <w:t>CMP292; Introducing a Section 8 cut-off date for changes to the Charging Methodologies</w:t>
        </w:r>
      </w:hyperlink>
      <w:r w:rsidRPr="00091BA7">
        <w:rPr>
          <w:rStyle w:val="FootnoteReference"/>
          <w:rFonts w:ascii="Poppins" w:hAnsi="Poppins" w:cs="Poppins"/>
        </w:rPr>
        <w:footnoteReference w:id="3"/>
      </w:r>
      <w:r w:rsidRPr="00091BA7">
        <w:rPr>
          <w:rFonts w:ascii="Poppins" w:hAnsi="Poppins" w:cs="Poppins"/>
        </w:rPr>
        <w:t xml:space="preserve">’ is relevant as all charging methodologies including connections charges, are within its scope). Please note that this proposal could need to be considered by the Authority together with the DCUSA modification DCP461, as the preferred approach to GSP Transmission Asset cost allocation in various cases is likely to affect the decisions on both change proposals. </w:t>
      </w:r>
    </w:p>
    <w:p w14:paraId="5789E544" w14:textId="77777777" w:rsidR="00091BA7" w:rsidRPr="00091BA7" w:rsidRDefault="00091BA7" w:rsidP="00091BA7">
      <w:pPr>
        <w:tabs>
          <w:tab w:val="left" w:pos="2820"/>
        </w:tabs>
        <w:spacing w:after="0" w:line="240" w:lineRule="auto"/>
        <w:rPr>
          <w:rFonts w:ascii="Poppins" w:hAnsi="Poppins" w:cs="Poppins"/>
        </w:rPr>
      </w:pPr>
      <w:r w:rsidRPr="00091BA7">
        <w:rPr>
          <w:rFonts w:ascii="Poppins" w:hAnsi="Poppins" w:cs="Poppins"/>
        </w:rPr>
        <w:t xml:space="preserve">Gate 2 offers are expected to be issued from October 2025 onwards with all Gate 2 offers being issued by the end of Q1 2026. A decision date of 30 September 2026 is likely to mean there is a period of uncertainty for customers that have accepted Gate 2 offers. The uncertainty on Transmission Connection Assets Charging is likely to delay FID, which will delay procurement, and therefore delay energisation of embedded projects. The delay caused by the prolonged uncertainty will put the delivery of Clean Power 2030 targets at risk. It is important that this proposed modification is progressed as quickly as possible to minimise the time between Gate 2 offers being accepted and a decision being made. </w:t>
      </w:r>
    </w:p>
    <w:p w14:paraId="6EEE154F" w14:textId="77777777" w:rsidR="00091BA7" w:rsidRDefault="00091BA7" w:rsidP="00091BA7">
      <w:pPr>
        <w:tabs>
          <w:tab w:val="left" w:pos="2820"/>
        </w:tabs>
        <w:spacing w:after="0" w:line="240" w:lineRule="auto"/>
        <w:rPr>
          <w:rFonts w:ascii="Poppins" w:hAnsi="Poppins" w:cs="Poppins"/>
          <w:sz w:val="22"/>
          <w:szCs w:val="22"/>
        </w:rPr>
      </w:pPr>
    </w:p>
    <w:p w14:paraId="385E9E5F" w14:textId="77777777" w:rsidR="000D7CE9" w:rsidRPr="008B6089" w:rsidRDefault="000D7CE9" w:rsidP="00091BA7">
      <w:pPr>
        <w:tabs>
          <w:tab w:val="left" w:pos="2820"/>
        </w:tabs>
        <w:spacing w:after="0" w:line="240" w:lineRule="auto"/>
        <w:rPr>
          <w:rFonts w:ascii="Poppins" w:hAnsi="Poppins" w:cs="Poppins"/>
          <w:sz w:val="22"/>
          <w:szCs w:val="22"/>
        </w:rPr>
      </w:pPr>
    </w:p>
    <w:p w14:paraId="79CCA1BC" w14:textId="77777777" w:rsidR="00CA0621" w:rsidRPr="00FD0D1A" w:rsidRDefault="00CA0621" w:rsidP="00CA0621">
      <w:pPr>
        <w:rPr>
          <w:rFonts w:ascii="Poppins" w:hAnsi="Poppins" w:cs="Poppins"/>
          <w:b/>
          <w:color w:val="000000" w:themeColor="text1"/>
        </w:rPr>
      </w:pPr>
      <w:r w:rsidRPr="00FD0D1A">
        <w:rPr>
          <w:rFonts w:ascii="Poppins" w:hAnsi="Poppins" w:cs="Poppins"/>
          <w:b/>
          <w:color w:val="000000" w:themeColor="text1"/>
        </w:rPr>
        <w:lastRenderedPageBreak/>
        <w:t>Implementation approach</w:t>
      </w:r>
    </w:p>
    <w:p w14:paraId="3A6591E6" w14:textId="62679412" w:rsidR="00CA0621" w:rsidRPr="00FD0D1A" w:rsidRDefault="00AE3612" w:rsidP="00CA0621">
      <w:pPr>
        <w:rPr>
          <w:rFonts w:ascii="Poppins" w:hAnsi="Poppins" w:cs="Poppins"/>
          <w:bCs/>
          <w:color w:val="000000" w:themeColor="text1"/>
          <w:kern w:val="32"/>
        </w:rPr>
      </w:pPr>
      <w:r w:rsidRPr="00AE3612">
        <w:rPr>
          <w:rFonts w:ascii="Poppins" w:hAnsi="Poppins" w:cs="Poppins"/>
          <w:bCs/>
          <w:color w:val="000000" w:themeColor="text1"/>
          <w:kern w:val="32"/>
        </w:rPr>
        <w:t xml:space="preserve">Implementation may require updates to Bilateral Connection Agreements (BCA) between NESO and customers, particularly DNOs.  </w:t>
      </w:r>
    </w:p>
    <w:p w14:paraId="659AEDE8" w14:textId="183E6E04" w:rsidR="00CA0621" w:rsidRPr="00DE2E99" w:rsidRDefault="00CA0621" w:rsidP="00CA0621">
      <w:pPr>
        <w:pStyle w:val="CA5"/>
        <w:shd w:val="clear" w:color="auto" w:fill="3F0731"/>
        <w:rPr>
          <w:rFonts w:ascii="Poppins" w:hAnsi="Poppins" w:cs="Poppins"/>
        </w:rPr>
      </w:pPr>
      <w:bookmarkStart w:id="39" w:name="_Workgroup_Consultation_1"/>
      <w:bookmarkStart w:id="40" w:name="_Toc207608729"/>
      <w:bookmarkEnd w:id="39"/>
      <w:r w:rsidRPr="00DE2E99">
        <w:rPr>
          <w:rFonts w:ascii="Poppins" w:hAnsi="Poppins" w:cs="Poppins"/>
        </w:rPr>
        <w:t>Interactions</w:t>
      </w:r>
      <w:bookmarkEnd w:id="40"/>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370"/>
        <w:gridCol w:w="2370"/>
        <w:gridCol w:w="2370"/>
      </w:tblGrid>
      <w:tr w:rsidR="00D3060E" w:rsidRPr="00D3060E" w14:paraId="5C875838" w14:textId="77777777" w:rsidTr="008E3806">
        <w:trPr>
          <w:trHeight w:val="300"/>
        </w:trPr>
        <w:tc>
          <w:tcPr>
            <w:tcW w:w="2370" w:type="dxa"/>
            <w:tcBorders>
              <w:top w:val="nil"/>
              <w:left w:val="nil"/>
              <w:bottom w:val="nil"/>
              <w:right w:val="nil"/>
            </w:tcBorders>
            <w:hideMark/>
          </w:tcPr>
          <w:p w14:paraId="5DE8C520" w14:textId="77777777" w:rsidR="00D3060E" w:rsidRPr="00D3060E" w:rsidRDefault="00D3060E" w:rsidP="008E3806">
            <w:pPr>
              <w:tabs>
                <w:tab w:val="left" w:pos="2820"/>
              </w:tabs>
              <w:spacing w:after="0"/>
              <w:rPr>
                <w:rFonts w:ascii="Poppins" w:hAnsi="Poppins" w:cs="Poppins"/>
              </w:rPr>
            </w:pPr>
            <w:bookmarkStart w:id="41" w:name="_How_to_respond"/>
            <w:bookmarkEnd w:id="41"/>
            <w:r w:rsidRPr="00D3060E">
              <w:rPr>
                <w:rFonts w:ascii="Times New Roman" w:hAnsi="Times New Roman" w:cs="Times New Roman"/>
              </w:rPr>
              <w:t>​​</w:t>
            </w:r>
            <w:sdt>
              <w:sdtPr>
                <w:rPr>
                  <w:rFonts w:ascii="Poppins" w:hAnsi="Poppins" w:cs="Poppins"/>
                </w:rPr>
                <w:id w:val="951212920"/>
                <w14:checkbox>
                  <w14:checked w14:val="1"/>
                  <w14:checkedState w14:val="2612" w14:font="MS Gothic"/>
                  <w14:uncheckedState w14:val="2610" w14:font="MS Gothic"/>
                </w14:checkbox>
              </w:sdtPr>
              <w:sdtContent>
                <w:r w:rsidRPr="00D3060E">
                  <w:rPr>
                    <w:rFonts w:ascii="Segoe UI Symbol" w:eastAsia="MS Gothic" w:hAnsi="Segoe UI Symbol" w:cs="Segoe UI Symbol"/>
                  </w:rPr>
                  <w:t>☒</w:t>
                </w:r>
              </w:sdtContent>
            </w:sdt>
            <w:r w:rsidRPr="00D3060E">
              <w:rPr>
                <w:rFonts w:ascii="Poppins" w:hAnsi="Poppins" w:cs="Poppins"/>
              </w:rPr>
              <w:t>CUSC  </w:t>
            </w:r>
          </w:p>
        </w:tc>
        <w:tc>
          <w:tcPr>
            <w:tcW w:w="2370" w:type="dxa"/>
            <w:tcBorders>
              <w:top w:val="nil"/>
              <w:left w:val="nil"/>
              <w:bottom w:val="nil"/>
              <w:right w:val="nil"/>
            </w:tcBorders>
            <w:hideMark/>
          </w:tcPr>
          <w:p w14:paraId="45DF43E0" w14:textId="77777777" w:rsidR="00D3060E" w:rsidRPr="00D3060E" w:rsidRDefault="00D3060E" w:rsidP="008E3806">
            <w:pPr>
              <w:tabs>
                <w:tab w:val="left" w:pos="2820"/>
              </w:tabs>
              <w:spacing w:after="0"/>
              <w:rPr>
                <w:rFonts w:ascii="Poppins" w:hAnsi="Poppins" w:cs="Poppins"/>
              </w:rPr>
            </w:pPr>
            <w:r w:rsidRPr="00D3060E">
              <w:rPr>
                <w:rFonts w:ascii="Times New Roman" w:hAnsi="Times New Roman" w:cs="Times New Roman"/>
              </w:rPr>
              <w:t>​​</w:t>
            </w:r>
            <w:sdt>
              <w:sdtPr>
                <w:rPr>
                  <w:rFonts w:ascii="Poppins" w:hAnsi="Poppins" w:cs="Poppins"/>
                </w:rPr>
                <w:id w:val="763583798"/>
                <w14:checkbox>
                  <w14:checked w14:val="0"/>
                  <w14:checkedState w14:val="2612" w14:font="MS Gothic"/>
                  <w14:uncheckedState w14:val="2610" w14:font="MS Gothic"/>
                </w14:checkbox>
              </w:sdtPr>
              <w:sdtContent>
                <w:r w:rsidRPr="00D3060E">
                  <w:rPr>
                    <w:rFonts w:ascii="Segoe UI Symbol" w:eastAsia="MS Gothic" w:hAnsi="Segoe UI Symbol" w:cs="Segoe UI Symbol"/>
                  </w:rPr>
                  <w:t>☐</w:t>
                </w:r>
              </w:sdtContent>
            </w:sdt>
            <w:r w:rsidRPr="00D3060E">
              <w:rPr>
                <w:rFonts w:ascii="Times New Roman" w:hAnsi="Times New Roman" w:cs="Times New Roman"/>
              </w:rPr>
              <w:t>​</w:t>
            </w:r>
            <w:r w:rsidRPr="00D3060E">
              <w:rPr>
                <w:rFonts w:ascii="Poppins" w:hAnsi="Poppins" w:cs="Poppins"/>
              </w:rPr>
              <w:t>BSC </w:t>
            </w:r>
          </w:p>
        </w:tc>
        <w:tc>
          <w:tcPr>
            <w:tcW w:w="2370" w:type="dxa"/>
            <w:tcBorders>
              <w:top w:val="nil"/>
              <w:left w:val="nil"/>
              <w:bottom w:val="nil"/>
              <w:right w:val="nil"/>
            </w:tcBorders>
            <w:hideMark/>
          </w:tcPr>
          <w:p w14:paraId="213BCDC1" w14:textId="77777777" w:rsidR="00D3060E" w:rsidRPr="00D3060E" w:rsidRDefault="00D3060E" w:rsidP="008E3806">
            <w:pPr>
              <w:tabs>
                <w:tab w:val="left" w:pos="2820"/>
              </w:tabs>
              <w:spacing w:after="0"/>
              <w:rPr>
                <w:rFonts w:ascii="Poppins" w:hAnsi="Poppins" w:cs="Poppins"/>
              </w:rPr>
            </w:pPr>
            <w:r w:rsidRPr="00D3060E">
              <w:rPr>
                <w:rFonts w:ascii="Times New Roman" w:hAnsi="Times New Roman" w:cs="Times New Roman"/>
              </w:rPr>
              <w:t>​​</w:t>
            </w:r>
            <w:sdt>
              <w:sdtPr>
                <w:rPr>
                  <w:rFonts w:ascii="Poppins" w:hAnsi="Poppins" w:cs="Poppins"/>
                </w:rPr>
                <w:id w:val="942335766"/>
                <w14:checkbox>
                  <w14:checked w14:val="0"/>
                  <w14:checkedState w14:val="2612" w14:font="MS Gothic"/>
                  <w14:uncheckedState w14:val="2610" w14:font="MS Gothic"/>
                </w14:checkbox>
              </w:sdtPr>
              <w:sdtContent>
                <w:r w:rsidRPr="00D3060E">
                  <w:rPr>
                    <w:rFonts w:ascii="Segoe UI Symbol" w:eastAsia="MS Gothic" w:hAnsi="Segoe UI Symbol" w:cs="Segoe UI Symbol"/>
                  </w:rPr>
                  <w:t>☐</w:t>
                </w:r>
              </w:sdtContent>
            </w:sdt>
            <w:r w:rsidRPr="00D3060E">
              <w:rPr>
                <w:rFonts w:ascii="Poppins" w:hAnsi="Poppins" w:cs="Poppins"/>
              </w:rPr>
              <w:t>STC </w:t>
            </w:r>
          </w:p>
        </w:tc>
        <w:tc>
          <w:tcPr>
            <w:tcW w:w="2370" w:type="dxa"/>
            <w:tcBorders>
              <w:top w:val="nil"/>
              <w:left w:val="nil"/>
              <w:bottom w:val="nil"/>
              <w:right w:val="nil"/>
            </w:tcBorders>
            <w:hideMark/>
          </w:tcPr>
          <w:p w14:paraId="0E5135BD" w14:textId="77777777" w:rsidR="00D3060E" w:rsidRPr="00D3060E" w:rsidRDefault="00D3060E" w:rsidP="008E3806">
            <w:pPr>
              <w:tabs>
                <w:tab w:val="left" w:pos="2820"/>
              </w:tabs>
              <w:spacing w:after="0"/>
              <w:rPr>
                <w:rFonts w:ascii="Poppins" w:hAnsi="Poppins" w:cs="Poppins"/>
              </w:rPr>
            </w:pPr>
            <w:r w:rsidRPr="00D3060E">
              <w:rPr>
                <w:rFonts w:ascii="Times New Roman" w:hAnsi="Times New Roman" w:cs="Times New Roman"/>
              </w:rPr>
              <w:t>​​</w:t>
            </w:r>
            <w:sdt>
              <w:sdtPr>
                <w:rPr>
                  <w:rFonts w:ascii="Poppins" w:hAnsi="Poppins" w:cs="Poppins"/>
                </w:rPr>
                <w:id w:val="-1108961912"/>
                <w14:checkbox>
                  <w14:checked w14:val="0"/>
                  <w14:checkedState w14:val="2612" w14:font="MS Gothic"/>
                  <w14:uncheckedState w14:val="2610" w14:font="MS Gothic"/>
                </w14:checkbox>
              </w:sdtPr>
              <w:sdtContent>
                <w:r w:rsidRPr="00D3060E">
                  <w:rPr>
                    <w:rFonts w:ascii="Segoe UI Symbol" w:eastAsia="MS Gothic" w:hAnsi="Segoe UI Symbol" w:cs="Segoe UI Symbol"/>
                  </w:rPr>
                  <w:t>☐</w:t>
                </w:r>
              </w:sdtContent>
            </w:sdt>
            <w:r w:rsidRPr="00D3060E">
              <w:rPr>
                <w:rFonts w:ascii="Times New Roman" w:hAnsi="Times New Roman" w:cs="Times New Roman"/>
              </w:rPr>
              <w:t>​</w:t>
            </w:r>
            <w:r w:rsidRPr="00D3060E">
              <w:rPr>
                <w:rFonts w:ascii="Poppins" w:hAnsi="Poppins" w:cs="Poppins"/>
              </w:rPr>
              <w:t>SQSS </w:t>
            </w:r>
          </w:p>
        </w:tc>
      </w:tr>
      <w:tr w:rsidR="00D3060E" w:rsidRPr="00D3060E" w14:paraId="51EBF529" w14:textId="77777777" w:rsidTr="008E3806">
        <w:trPr>
          <w:trHeight w:val="300"/>
        </w:trPr>
        <w:tc>
          <w:tcPr>
            <w:tcW w:w="2370" w:type="dxa"/>
            <w:tcBorders>
              <w:top w:val="nil"/>
              <w:left w:val="nil"/>
              <w:bottom w:val="nil"/>
              <w:right w:val="nil"/>
            </w:tcBorders>
            <w:hideMark/>
          </w:tcPr>
          <w:p w14:paraId="4F503DE6" w14:textId="77777777" w:rsidR="00D3060E" w:rsidRPr="00D3060E" w:rsidRDefault="00D3060E" w:rsidP="008E3806">
            <w:pPr>
              <w:tabs>
                <w:tab w:val="left" w:pos="2820"/>
              </w:tabs>
              <w:spacing w:after="0"/>
              <w:rPr>
                <w:rFonts w:ascii="Poppins" w:hAnsi="Poppins" w:cs="Poppins"/>
              </w:rPr>
            </w:pPr>
            <w:r w:rsidRPr="00D3060E">
              <w:rPr>
                <w:rFonts w:ascii="Times New Roman" w:hAnsi="Times New Roman" w:cs="Times New Roman"/>
              </w:rPr>
              <w:t>​​</w:t>
            </w:r>
            <w:sdt>
              <w:sdtPr>
                <w:rPr>
                  <w:rFonts w:ascii="Poppins" w:hAnsi="Poppins" w:cs="Poppins"/>
                </w:rPr>
                <w:id w:val="1552813059"/>
                <w14:checkbox>
                  <w14:checked w14:val="0"/>
                  <w14:checkedState w14:val="2612" w14:font="MS Gothic"/>
                  <w14:uncheckedState w14:val="2610" w14:font="MS Gothic"/>
                </w14:checkbox>
              </w:sdtPr>
              <w:sdtContent>
                <w:r w:rsidRPr="00D3060E">
                  <w:rPr>
                    <w:rFonts w:ascii="Segoe UI Symbol" w:eastAsia="MS Gothic" w:hAnsi="Segoe UI Symbol" w:cs="Segoe UI Symbol"/>
                  </w:rPr>
                  <w:t>☐</w:t>
                </w:r>
              </w:sdtContent>
            </w:sdt>
            <w:r w:rsidRPr="00D3060E">
              <w:rPr>
                <w:rFonts w:ascii="Times New Roman" w:hAnsi="Times New Roman" w:cs="Times New Roman"/>
              </w:rPr>
              <w:t>​</w:t>
            </w:r>
            <w:r w:rsidRPr="00D3060E">
              <w:rPr>
                <w:rFonts w:ascii="Poppins" w:hAnsi="Poppins" w:cs="Poppins"/>
              </w:rPr>
              <w:t>European Network Codes  </w:t>
            </w:r>
          </w:p>
          <w:p w14:paraId="54638D6D" w14:textId="77777777" w:rsidR="00D3060E" w:rsidRPr="00D3060E" w:rsidRDefault="00D3060E" w:rsidP="008E3806">
            <w:pPr>
              <w:tabs>
                <w:tab w:val="left" w:pos="2820"/>
              </w:tabs>
              <w:spacing w:after="0"/>
              <w:rPr>
                <w:rFonts w:ascii="Poppins" w:hAnsi="Poppins" w:cs="Poppins"/>
              </w:rPr>
            </w:pPr>
            <w:r w:rsidRPr="00D3060E">
              <w:rPr>
                <w:rFonts w:ascii="Poppins" w:hAnsi="Poppins" w:cs="Poppins"/>
              </w:rPr>
              <w:t> </w:t>
            </w:r>
          </w:p>
        </w:tc>
        <w:tc>
          <w:tcPr>
            <w:tcW w:w="2370" w:type="dxa"/>
            <w:tcBorders>
              <w:top w:val="nil"/>
              <w:left w:val="nil"/>
              <w:bottom w:val="nil"/>
              <w:right w:val="nil"/>
            </w:tcBorders>
            <w:hideMark/>
          </w:tcPr>
          <w:p w14:paraId="0A356585" w14:textId="77777777" w:rsidR="00D3060E" w:rsidRPr="00D3060E" w:rsidRDefault="00D3060E" w:rsidP="008E3806">
            <w:pPr>
              <w:tabs>
                <w:tab w:val="left" w:pos="2820"/>
              </w:tabs>
              <w:spacing w:after="0"/>
              <w:rPr>
                <w:rFonts w:ascii="Poppins" w:hAnsi="Poppins" w:cs="Poppins"/>
              </w:rPr>
            </w:pPr>
            <w:r w:rsidRPr="00D3060E">
              <w:rPr>
                <w:rFonts w:ascii="Times New Roman" w:hAnsi="Times New Roman" w:cs="Times New Roman"/>
              </w:rPr>
              <w:t>​​</w:t>
            </w:r>
            <w:sdt>
              <w:sdtPr>
                <w:rPr>
                  <w:rFonts w:ascii="Poppins" w:hAnsi="Poppins" w:cs="Poppins"/>
                </w:rPr>
                <w:id w:val="-252127863"/>
                <w14:checkbox>
                  <w14:checked w14:val="0"/>
                  <w14:checkedState w14:val="2612" w14:font="MS Gothic"/>
                  <w14:uncheckedState w14:val="2610" w14:font="MS Gothic"/>
                </w14:checkbox>
              </w:sdtPr>
              <w:sdtContent>
                <w:r w:rsidRPr="00D3060E">
                  <w:rPr>
                    <w:rFonts w:ascii="Segoe UI Symbol" w:eastAsia="MS Gothic" w:hAnsi="Segoe UI Symbol" w:cs="Segoe UI Symbol"/>
                  </w:rPr>
                  <w:t>☐</w:t>
                </w:r>
              </w:sdtContent>
            </w:sdt>
            <w:r w:rsidRPr="00D3060E">
              <w:rPr>
                <w:rFonts w:ascii="Poppins" w:hAnsi="Poppins" w:cs="Poppins"/>
              </w:rPr>
              <w:t xml:space="preserve"> EBR Article 18 T&amp;Cs</w:t>
            </w:r>
            <w:r w:rsidRPr="00D3060E">
              <w:rPr>
                <w:rFonts w:ascii="Poppins" w:hAnsi="Poppins" w:cs="Poppins"/>
                <w:vertAlign w:val="superscript"/>
              </w:rPr>
              <w:t>1</w:t>
            </w:r>
            <w:r w:rsidRPr="00D3060E">
              <w:rPr>
                <w:rFonts w:ascii="Poppins" w:hAnsi="Poppins" w:cs="Poppins"/>
              </w:rPr>
              <w:t> </w:t>
            </w:r>
          </w:p>
          <w:p w14:paraId="3D844767" w14:textId="77777777" w:rsidR="00D3060E" w:rsidRPr="00D3060E" w:rsidRDefault="00D3060E" w:rsidP="008E3806">
            <w:pPr>
              <w:tabs>
                <w:tab w:val="left" w:pos="2820"/>
              </w:tabs>
              <w:spacing w:after="0"/>
              <w:rPr>
                <w:rFonts w:ascii="Poppins" w:hAnsi="Poppins" w:cs="Poppins"/>
              </w:rPr>
            </w:pPr>
            <w:r w:rsidRPr="00D3060E">
              <w:rPr>
                <w:rFonts w:ascii="Poppins" w:hAnsi="Poppins" w:cs="Poppins"/>
              </w:rPr>
              <w:t> </w:t>
            </w:r>
          </w:p>
        </w:tc>
        <w:tc>
          <w:tcPr>
            <w:tcW w:w="2370" w:type="dxa"/>
            <w:tcBorders>
              <w:top w:val="nil"/>
              <w:left w:val="nil"/>
              <w:bottom w:val="nil"/>
              <w:right w:val="nil"/>
            </w:tcBorders>
            <w:hideMark/>
          </w:tcPr>
          <w:p w14:paraId="16B41B14" w14:textId="77777777" w:rsidR="00D3060E" w:rsidRPr="00D3060E" w:rsidRDefault="00D3060E" w:rsidP="008E3806">
            <w:pPr>
              <w:tabs>
                <w:tab w:val="left" w:pos="2820"/>
              </w:tabs>
              <w:spacing w:after="0"/>
              <w:rPr>
                <w:rFonts w:ascii="Poppins" w:hAnsi="Poppins" w:cs="Poppins"/>
              </w:rPr>
            </w:pPr>
            <w:r w:rsidRPr="00D3060E">
              <w:rPr>
                <w:rFonts w:ascii="Times New Roman" w:hAnsi="Times New Roman" w:cs="Times New Roman"/>
              </w:rPr>
              <w:t>​​</w:t>
            </w:r>
            <w:sdt>
              <w:sdtPr>
                <w:rPr>
                  <w:rFonts w:ascii="Poppins" w:hAnsi="Poppins" w:cs="Poppins"/>
                </w:rPr>
                <w:id w:val="-1787490250"/>
                <w14:checkbox>
                  <w14:checked w14:val="1"/>
                  <w14:checkedState w14:val="2612" w14:font="MS Gothic"/>
                  <w14:uncheckedState w14:val="2610" w14:font="MS Gothic"/>
                </w14:checkbox>
              </w:sdtPr>
              <w:sdtContent>
                <w:r w:rsidRPr="00D3060E">
                  <w:rPr>
                    <w:rFonts w:ascii="Segoe UI Symbol" w:eastAsia="MS Gothic" w:hAnsi="Segoe UI Symbol" w:cs="Segoe UI Symbol"/>
                  </w:rPr>
                  <w:t>☒</w:t>
                </w:r>
              </w:sdtContent>
            </w:sdt>
            <w:r w:rsidRPr="00D3060E">
              <w:rPr>
                <w:rFonts w:ascii="Times New Roman" w:hAnsi="Times New Roman" w:cs="Times New Roman"/>
              </w:rPr>
              <w:t>​</w:t>
            </w:r>
            <w:r w:rsidRPr="00D3060E">
              <w:rPr>
                <w:rFonts w:ascii="Poppins" w:hAnsi="Poppins" w:cs="Poppins"/>
              </w:rPr>
              <w:t>Other modifications </w:t>
            </w:r>
          </w:p>
          <w:p w14:paraId="167F8DE2" w14:textId="77777777" w:rsidR="00D3060E" w:rsidRPr="00D3060E" w:rsidRDefault="00D3060E" w:rsidP="008E3806">
            <w:pPr>
              <w:tabs>
                <w:tab w:val="left" w:pos="2820"/>
              </w:tabs>
              <w:spacing w:after="0"/>
              <w:rPr>
                <w:rFonts w:ascii="Poppins" w:hAnsi="Poppins" w:cs="Poppins"/>
              </w:rPr>
            </w:pPr>
            <w:r w:rsidRPr="00D3060E">
              <w:rPr>
                <w:rFonts w:ascii="Poppins" w:hAnsi="Poppins" w:cs="Poppins"/>
              </w:rPr>
              <w:t> </w:t>
            </w:r>
          </w:p>
        </w:tc>
        <w:tc>
          <w:tcPr>
            <w:tcW w:w="2370" w:type="dxa"/>
            <w:tcBorders>
              <w:top w:val="nil"/>
              <w:left w:val="nil"/>
              <w:bottom w:val="nil"/>
              <w:right w:val="nil"/>
            </w:tcBorders>
            <w:hideMark/>
          </w:tcPr>
          <w:p w14:paraId="3672D2BF" w14:textId="77777777" w:rsidR="00D3060E" w:rsidRPr="00D3060E" w:rsidRDefault="00D3060E" w:rsidP="008E3806">
            <w:pPr>
              <w:tabs>
                <w:tab w:val="left" w:pos="2820"/>
              </w:tabs>
              <w:spacing w:after="0"/>
              <w:rPr>
                <w:rFonts w:ascii="Poppins" w:hAnsi="Poppins" w:cs="Poppins"/>
              </w:rPr>
            </w:pPr>
            <w:r w:rsidRPr="00D3060E">
              <w:rPr>
                <w:rFonts w:ascii="Times New Roman" w:hAnsi="Times New Roman" w:cs="Times New Roman"/>
              </w:rPr>
              <w:t>​​</w:t>
            </w:r>
            <w:sdt>
              <w:sdtPr>
                <w:rPr>
                  <w:rFonts w:ascii="Poppins" w:hAnsi="Poppins" w:cs="Poppins"/>
                </w:rPr>
                <w:id w:val="-1574662094"/>
                <w14:checkbox>
                  <w14:checked w14:val="1"/>
                  <w14:checkedState w14:val="2612" w14:font="MS Gothic"/>
                  <w14:uncheckedState w14:val="2610" w14:font="MS Gothic"/>
                </w14:checkbox>
              </w:sdtPr>
              <w:sdtContent>
                <w:r w:rsidRPr="00D3060E">
                  <w:rPr>
                    <w:rFonts w:ascii="Segoe UI Symbol" w:eastAsia="MS Gothic" w:hAnsi="Segoe UI Symbol" w:cs="Segoe UI Symbol"/>
                  </w:rPr>
                  <w:t>☒</w:t>
                </w:r>
              </w:sdtContent>
            </w:sdt>
            <w:r w:rsidRPr="00D3060E">
              <w:rPr>
                <w:rFonts w:ascii="Times New Roman" w:hAnsi="Times New Roman" w:cs="Times New Roman"/>
              </w:rPr>
              <w:t>​</w:t>
            </w:r>
            <w:r w:rsidRPr="00D3060E">
              <w:rPr>
                <w:rFonts w:ascii="Poppins" w:hAnsi="Poppins" w:cs="Poppins"/>
              </w:rPr>
              <w:t>Other </w:t>
            </w:r>
          </w:p>
          <w:p w14:paraId="6E0BB357" w14:textId="77777777" w:rsidR="00D3060E" w:rsidRPr="00D3060E" w:rsidRDefault="00D3060E" w:rsidP="008E3806">
            <w:pPr>
              <w:tabs>
                <w:tab w:val="left" w:pos="2820"/>
              </w:tabs>
              <w:spacing w:after="0"/>
              <w:rPr>
                <w:rFonts w:ascii="Poppins" w:hAnsi="Poppins" w:cs="Poppins"/>
              </w:rPr>
            </w:pPr>
            <w:r w:rsidRPr="00D3060E">
              <w:rPr>
                <w:rFonts w:ascii="Poppins" w:hAnsi="Poppins" w:cs="Poppins"/>
              </w:rPr>
              <w:t> </w:t>
            </w:r>
          </w:p>
        </w:tc>
      </w:tr>
    </w:tbl>
    <w:p w14:paraId="6428F6BE" w14:textId="77777777" w:rsidR="00D3060E" w:rsidRPr="00D3060E" w:rsidRDefault="00D3060E" w:rsidP="00D3060E">
      <w:pPr>
        <w:tabs>
          <w:tab w:val="left" w:pos="2820"/>
        </w:tabs>
        <w:spacing w:line="240" w:lineRule="auto"/>
        <w:rPr>
          <w:rFonts w:ascii="Poppins" w:hAnsi="Poppins" w:cs="Poppins"/>
        </w:rPr>
      </w:pPr>
      <w:r w:rsidRPr="00D3060E">
        <w:rPr>
          <w:rFonts w:ascii="Poppins" w:hAnsi="Poppins" w:cs="Poppins"/>
        </w:rPr>
        <w:t xml:space="preserve">The proposal interacts with DCUSA modification DCP461. </w:t>
      </w:r>
    </w:p>
    <w:p w14:paraId="128EB07E" w14:textId="3729703D" w:rsidR="00D3060E" w:rsidRPr="00D3060E" w:rsidRDefault="00D3060E" w:rsidP="00D3060E">
      <w:pPr>
        <w:tabs>
          <w:tab w:val="left" w:pos="2820"/>
        </w:tabs>
        <w:spacing w:line="240" w:lineRule="auto"/>
        <w:rPr>
          <w:rFonts w:ascii="Poppins" w:hAnsi="Poppins" w:cs="Poppins"/>
        </w:rPr>
      </w:pPr>
      <w:r w:rsidRPr="00D3060E">
        <w:rPr>
          <w:rFonts w:ascii="Poppins" w:hAnsi="Poppins" w:cs="Poppins"/>
        </w:rPr>
        <w:t>The proposal will interact with Ofgem’s proposed reform of network charging signals.</w:t>
      </w:r>
      <w:r>
        <w:rPr>
          <w:rFonts w:ascii="Poppins" w:hAnsi="Poppins" w:cs="Poppins"/>
        </w:rPr>
        <w:t xml:space="preserve"> </w:t>
      </w:r>
      <w:hyperlink r:id="rId24" w:history="1">
        <w:r w:rsidRPr="00D3060E">
          <w:rPr>
            <w:rStyle w:val="Hyperlink"/>
            <w:rFonts w:ascii="Poppins" w:hAnsi="Poppins" w:cs="Poppins"/>
          </w:rPr>
          <w:t>Ofgem’s 21 July 2025 open letter</w:t>
        </w:r>
      </w:hyperlink>
      <w:r w:rsidRPr="00D3060E">
        <w:rPr>
          <w:rFonts w:ascii="Poppins" w:hAnsi="Poppins" w:cs="Poppins"/>
        </w:rPr>
        <w:t xml:space="preserve"> specifically includes Ofgem considering making transmission charging “deeper”, including via connection charges.</w:t>
      </w:r>
      <w:r>
        <w:rPr>
          <w:rFonts w:ascii="Poppins" w:hAnsi="Poppins" w:cs="Poppins"/>
        </w:rPr>
        <w:t xml:space="preserve"> </w:t>
      </w:r>
      <w:r w:rsidRPr="00D3060E">
        <w:rPr>
          <w:rFonts w:ascii="Poppins" w:hAnsi="Poppins" w:cs="Poppins"/>
        </w:rPr>
        <w:t xml:space="preserve">This Proposal may require approval and/or implementation to be aligned to the intended timing/outcomes of Ofgem’s review to avoid volatility and uncertainty.   </w:t>
      </w:r>
    </w:p>
    <w:p w14:paraId="4470E1B4" w14:textId="722027A3" w:rsidR="00875F13" w:rsidRPr="00D3060E" w:rsidRDefault="00D3060E" w:rsidP="00D3060E">
      <w:pPr>
        <w:tabs>
          <w:tab w:val="left" w:pos="2820"/>
        </w:tabs>
        <w:spacing w:line="240" w:lineRule="auto"/>
        <w:rPr>
          <w:rFonts w:ascii="Poppins" w:hAnsi="Poppins" w:cs="Poppins"/>
        </w:rPr>
      </w:pPr>
      <w:r w:rsidRPr="00D3060E">
        <w:rPr>
          <w:rFonts w:ascii="Poppins" w:hAnsi="Poppins" w:cs="Poppins"/>
        </w:rPr>
        <w:t>The Proposal may interact, peripherally with RIIO-ED3 funding arrangements in respect of Connection Assets required by DNOs.</w:t>
      </w:r>
    </w:p>
    <w:p w14:paraId="0C2EDB3B" w14:textId="77777777" w:rsidR="00CA0621" w:rsidRPr="00DE2E99" w:rsidRDefault="00CA0621" w:rsidP="00CA0621">
      <w:pPr>
        <w:pStyle w:val="CA7"/>
        <w:shd w:val="clear" w:color="auto" w:fill="3F0731"/>
        <w:rPr>
          <w:rFonts w:ascii="Poppins" w:hAnsi="Poppins" w:cs="Poppins"/>
        </w:rPr>
      </w:pPr>
      <w:bookmarkStart w:id="42" w:name="_Toc207608730"/>
      <w:r w:rsidRPr="00DE2E99">
        <w:rPr>
          <w:rFonts w:ascii="Poppins" w:hAnsi="Poppins" w:cs="Poppins"/>
        </w:rPr>
        <w:t>Acronyms, key terms and reference material</w:t>
      </w:r>
      <w:bookmarkEnd w:id="42"/>
    </w:p>
    <w:tbl>
      <w:tblPr>
        <w:tblW w:w="9480" w:type="dxa"/>
        <w:tblBorders>
          <w:top w:val="single" w:sz="4" w:space="0" w:color="3F0731" w:themeColor="text2"/>
          <w:left w:val="single" w:sz="4" w:space="0" w:color="3F0731" w:themeColor="text2"/>
          <w:bottom w:val="single" w:sz="4" w:space="0" w:color="3F0731" w:themeColor="text2"/>
          <w:right w:val="single" w:sz="4" w:space="0" w:color="3F0731" w:themeColor="text2"/>
          <w:insideH w:val="single" w:sz="4" w:space="0" w:color="3F0731" w:themeColor="text2"/>
          <w:insideV w:val="single" w:sz="4" w:space="0" w:color="3F0731" w:themeColor="text2"/>
        </w:tblBorders>
        <w:tblCellMar>
          <w:left w:w="0" w:type="dxa"/>
          <w:right w:w="0" w:type="dxa"/>
        </w:tblCellMar>
        <w:tblLook w:val="04A0" w:firstRow="1" w:lastRow="0" w:firstColumn="1" w:lastColumn="0" w:noHBand="0" w:noVBand="1"/>
      </w:tblPr>
      <w:tblGrid>
        <w:gridCol w:w="2689"/>
        <w:gridCol w:w="6791"/>
      </w:tblGrid>
      <w:tr w:rsidR="001349E7" w:rsidRPr="001349E7" w14:paraId="7E512D8C" w14:textId="77777777" w:rsidTr="008E3806">
        <w:trPr>
          <w:trHeight w:val="300"/>
        </w:trPr>
        <w:tc>
          <w:tcPr>
            <w:tcW w:w="2689" w:type="dxa"/>
            <w:shd w:val="clear" w:color="auto" w:fill="7A3864"/>
            <w:hideMark/>
          </w:tcPr>
          <w:p w14:paraId="3019071F" w14:textId="77777777" w:rsidR="001349E7" w:rsidRPr="001349E7" w:rsidRDefault="001349E7" w:rsidP="008E3806">
            <w:pPr>
              <w:tabs>
                <w:tab w:val="left" w:pos="2820"/>
              </w:tabs>
              <w:rPr>
                <w:rFonts w:ascii="Poppins" w:hAnsi="Poppins" w:cs="Poppins"/>
                <w:color w:val="FFFFFF" w:themeColor="background1"/>
              </w:rPr>
            </w:pPr>
            <w:r w:rsidRPr="001349E7">
              <w:rPr>
                <w:rFonts w:ascii="Poppins" w:hAnsi="Poppins" w:cs="Poppins"/>
                <w:b/>
                <w:color w:val="FFFFFF" w:themeColor="background1"/>
              </w:rPr>
              <w:t>Acronym / key term</w:t>
            </w:r>
            <w:r w:rsidRPr="001349E7">
              <w:rPr>
                <w:rFonts w:ascii="Poppins" w:hAnsi="Poppins" w:cs="Poppins"/>
                <w:color w:val="FFFFFF" w:themeColor="background1"/>
              </w:rPr>
              <w:t> </w:t>
            </w:r>
          </w:p>
        </w:tc>
        <w:tc>
          <w:tcPr>
            <w:tcW w:w="6791" w:type="dxa"/>
            <w:shd w:val="clear" w:color="auto" w:fill="7A3864"/>
            <w:hideMark/>
          </w:tcPr>
          <w:p w14:paraId="4B32FE43" w14:textId="77777777" w:rsidR="001349E7" w:rsidRPr="001349E7" w:rsidRDefault="001349E7" w:rsidP="008E3806">
            <w:pPr>
              <w:tabs>
                <w:tab w:val="left" w:pos="2820"/>
              </w:tabs>
              <w:rPr>
                <w:rFonts w:ascii="Poppins" w:hAnsi="Poppins" w:cs="Poppins"/>
                <w:color w:val="FFFFFF" w:themeColor="background1"/>
              </w:rPr>
            </w:pPr>
            <w:r w:rsidRPr="001349E7">
              <w:rPr>
                <w:rFonts w:ascii="Poppins" w:hAnsi="Poppins" w:cs="Poppins"/>
                <w:b/>
                <w:color w:val="FFFFFF" w:themeColor="background1"/>
              </w:rPr>
              <w:t>Meaning</w:t>
            </w:r>
            <w:r w:rsidRPr="001349E7">
              <w:rPr>
                <w:rFonts w:ascii="Poppins" w:hAnsi="Poppins" w:cs="Poppins"/>
                <w:color w:val="FFFFFF" w:themeColor="background1"/>
              </w:rPr>
              <w:t> </w:t>
            </w:r>
          </w:p>
        </w:tc>
      </w:tr>
      <w:tr w:rsidR="001349E7" w:rsidRPr="001349E7" w14:paraId="370DF77F" w14:textId="77777777" w:rsidTr="008E3806">
        <w:trPr>
          <w:trHeight w:val="300"/>
        </w:trPr>
        <w:tc>
          <w:tcPr>
            <w:tcW w:w="2689" w:type="dxa"/>
          </w:tcPr>
          <w:p w14:paraId="0B4D5291" w14:textId="77777777" w:rsidR="001349E7" w:rsidRPr="001349E7" w:rsidRDefault="001349E7" w:rsidP="008E3806">
            <w:pPr>
              <w:tabs>
                <w:tab w:val="left" w:pos="2820"/>
              </w:tabs>
              <w:rPr>
                <w:rFonts w:ascii="Poppins" w:hAnsi="Poppins" w:cs="Poppins"/>
              </w:rPr>
            </w:pPr>
            <w:r w:rsidRPr="001349E7">
              <w:rPr>
                <w:rFonts w:ascii="Poppins" w:hAnsi="Poppins" w:cs="Poppins"/>
              </w:rPr>
              <w:t>AIS</w:t>
            </w:r>
          </w:p>
        </w:tc>
        <w:tc>
          <w:tcPr>
            <w:tcW w:w="6791" w:type="dxa"/>
          </w:tcPr>
          <w:p w14:paraId="30653E26"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rPr>
              <w:t>Air Insulated Switchgear</w:t>
            </w:r>
          </w:p>
        </w:tc>
      </w:tr>
      <w:tr w:rsidR="001349E7" w:rsidRPr="001349E7" w14:paraId="2F32250F" w14:textId="77777777" w:rsidTr="008E3806">
        <w:trPr>
          <w:trHeight w:val="300"/>
        </w:trPr>
        <w:tc>
          <w:tcPr>
            <w:tcW w:w="2689" w:type="dxa"/>
            <w:hideMark/>
          </w:tcPr>
          <w:p w14:paraId="2DDC85C0" w14:textId="77777777" w:rsidR="001349E7" w:rsidRPr="001349E7" w:rsidRDefault="001349E7" w:rsidP="008E3806">
            <w:pPr>
              <w:tabs>
                <w:tab w:val="left" w:pos="2820"/>
              </w:tabs>
              <w:rPr>
                <w:rFonts w:ascii="Poppins" w:hAnsi="Poppins" w:cs="Poppins"/>
              </w:rPr>
            </w:pPr>
            <w:r w:rsidRPr="001349E7">
              <w:rPr>
                <w:rFonts w:ascii="Poppins" w:hAnsi="Poppins" w:cs="Poppins"/>
              </w:rPr>
              <w:t>BSC </w:t>
            </w:r>
          </w:p>
        </w:tc>
        <w:tc>
          <w:tcPr>
            <w:tcW w:w="6791" w:type="dxa"/>
            <w:hideMark/>
          </w:tcPr>
          <w:p w14:paraId="0003DC96" w14:textId="77777777" w:rsidR="001349E7" w:rsidRPr="001349E7" w:rsidRDefault="001349E7" w:rsidP="008E3806">
            <w:pPr>
              <w:tabs>
                <w:tab w:val="left" w:pos="2820"/>
              </w:tabs>
              <w:rPr>
                <w:rFonts w:ascii="Poppins" w:hAnsi="Poppins" w:cs="Poppins"/>
              </w:rPr>
            </w:pPr>
            <w:r w:rsidRPr="001349E7">
              <w:rPr>
                <w:rFonts w:ascii="Poppins" w:hAnsi="Poppins" w:cs="Poppins"/>
              </w:rPr>
              <w:t>Balancing and Settlement Code </w:t>
            </w:r>
          </w:p>
        </w:tc>
      </w:tr>
      <w:tr w:rsidR="001349E7" w:rsidRPr="001349E7" w14:paraId="580A3397" w14:textId="77777777" w:rsidTr="008E3806">
        <w:trPr>
          <w:trHeight w:val="300"/>
        </w:trPr>
        <w:tc>
          <w:tcPr>
            <w:tcW w:w="2689" w:type="dxa"/>
          </w:tcPr>
          <w:p w14:paraId="31C47DA1" w14:textId="77777777" w:rsidR="001349E7" w:rsidRPr="001349E7" w:rsidRDefault="001349E7" w:rsidP="008E3806">
            <w:pPr>
              <w:tabs>
                <w:tab w:val="left" w:pos="2820"/>
              </w:tabs>
              <w:rPr>
                <w:rFonts w:ascii="Poppins" w:hAnsi="Poppins" w:cs="Poppins"/>
              </w:rPr>
            </w:pPr>
            <w:r w:rsidRPr="001349E7">
              <w:rPr>
                <w:rFonts w:ascii="Poppins" w:hAnsi="Poppins" w:cs="Poppins"/>
              </w:rPr>
              <w:t>CAF</w:t>
            </w:r>
          </w:p>
        </w:tc>
        <w:tc>
          <w:tcPr>
            <w:tcW w:w="6791" w:type="dxa"/>
          </w:tcPr>
          <w:p w14:paraId="5A144E3C" w14:textId="77777777" w:rsidR="001349E7" w:rsidRPr="001349E7" w:rsidRDefault="001349E7" w:rsidP="008E3806">
            <w:pPr>
              <w:tabs>
                <w:tab w:val="left" w:pos="2820"/>
              </w:tabs>
              <w:rPr>
                <w:rFonts w:ascii="Poppins" w:hAnsi="Poppins" w:cs="Poppins"/>
              </w:rPr>
            </w:pPr>
            <w:r w:rsidRPr="001349E7">
              <w:rPr>
                <w:rFonts w:ascii="Poppins" w:hAnsi="Poppins" w:cs="Poppins"/>
              </w:rPr>
              <w:t>Capacity Allocation Factor</w:t>
            </w:r>
          </w:p>
        </w:tc>
      </w:tr>
      <w:tr w:rsidR="001349E7" w:rsidRPr="001349E7" w14:paraId="40B694D9" w14:textId="77777777" w:rsidTr="008E3806">
        <w:trPr>
          <w:trHeight w:val="300"/>
        </w:trPr>
        <w:tc>
          <w:tcPr>
            <w:tcW w:w="2689" w:type="dxa"/>
          </w:tcPr>
          <w:p w14:paraId="1A6A1DA5" w14:textId="77777777" w:rsidR="001349E7" w:rsidRPr="001349E7" w:rsidRDefault="001349E7" w:rsidP="008E3806">
            <w:pPr>
              <w:tabs>
                <w:tab w:val="left" w:pos="2820"/>
              </w:tabs>
              <w:rPr>
                <w:rFonts w:ascii="Poppins" w:hAnsi="Poppins" w:cs="Poppins"/>
              </w:rPr>
            </w:pPr>
            <w:r w:rsidRPr="001349E7">
              <w:rPr>
                <w:rFonts w:ascii="Poppins" w:hAnsi="Poppins" w:cs="Poppins"/>
              </w:rPr>
              <w:t>CAP</w:t>
            </w:r>
          </w:p>
        </w:tc>
        <w:tc>
          <w:tcPr>
            <w:tcW w:w="6791" w:type="dxa"/>
          </w:tcPr>
          <w:p w14:paraId="74000B18" w14:textId="77777777" w:rsidR="001349E7" w:rsidRPr="001349E7" w:rsidRDefault="001349E7" w:rsidP="008E3806">
            <w:pPr>
              <w:tabs>
                <w:tab w:val="left" w:pos="2820"/>
              </w:tabs>
              <w:rPr>
                <w:rFonts w:ascii="Poppins" w:hAnsi="Poppins" w:cs="Poppins"/>
              </w:rPr>
            </w:pPr>
            <w:r w:rsidRPr="001349E7">
              <w:rPr>
                <w:rFonts w:ascii="Poppins" w:hAnsi="Poppins" w:cs="Poppins"/>
              </w:rPr>
              <w:t>Connections Action Plan</w:t>
            </w:r>
          </w:p>
        </w:tc>
      </w:tr>
      <w:tr w:rsidR="001349E7" w:rsidRPr="001349E7" w14:paraId="5D468EAD" w14:textId="77777777" w:rsidTr="008E3806">
        <w:trPr>
          <w:trHeight w:val="300"/>
        </w:trPr>
        <w:tc>
          <w:tcPr>
            <w:tcW w:w="2689" w:type="dxa"/>
          </w:tcPr>
          <w:p w14:paraId="37792FDC" w14:textId="77777777" w:rsidR="001349E7" w:rsidRPr="001349E7" w:rsidRDefault="001349E7" w:rsidP="008E3806">
            <w:pPr>
              <w:tabs>
                <w:tab w:val="left" w:pos="2820"/>
              </w:tabs>
              <w:rPr>
                <w:rFonts w:ascii="Poppins" w:hAnsi="Poppins" w:cs="Poppins"/>
              </w:rPr>
            </w:pPr>
            <w:r w:rsidRPr="001349E7">
              <w:rPr>
                <w:rFonts w:ascii="Poppins" w:hAnsi="Poppins" w:cs="Poppins"/>
              </w:rPr>
              <w:t>CCR</w:t>
            </w:r>
          </w:p>
        </w:tc>
        <w:tc>
          <w:tcPr>
            <w:tcW w:w="6791" w:type="dxa"/>
          </w:tcPr>
          <w:p w14:paraId="3F2DDB65"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kern w:val="0"/>
                <w:lang w:eastAsia="en-GB"/>
                <w14:ligatures w14:val="none"/>
              </w:rPr>
              <w:t>Capacity Calculation Region</w:t>
            </w:r>
          </w:p>
        </w:tc>
      </w:tr>
      <w:tr w:rsidR="001349E7" w:rsidRPr="001349E7" w14:paraId="312D5DD9" w14:textId="77777777" w:rsidTr="008E3806">
        <w:trPr>
          <w:trHeight w:val="300"/>
        </w:trPr>
        <w:tc>
          <w:tcPr>
            <w:tcW w:w="2689" w:type="dxa"/>
          </w:tcPr>
          <w:p w14:paraId="76DC6CA5" w14:textId="77777777" w:rsidR="001349E7" w:rsidRPr="001349E7" w:rsidRDefault="001349E7" w:rsidP="008E3806">
            <w:pPr>
              <w:tabs>
                <w:tab w:val="left" w:pos="2820"/>
              </w:tabs>
              <w:rPr>
                <w:rFonts w:ascii="Poppins" w:hAnsi="Poppins" w:cs="Poppins"/>
              </w:rPr>
            </w:pPr>
            <w:r w:rsidRPr="001349E7">
              <w:rPr>
                <w:rFonts w:ascii="Poppins" w:hAnsi="Poppins" w:cs="Poppins"/>
              </w:rPr>
              <w:t>CDB</w:t>
            </w:r>
          </w:p>
        </w:tc>
        <w:tc>
          <w:tcPr>
            <w:tcW w:w="6791" w:type="dxa"/>
          </w:tcPr>
          <w:p w14:paraId="0140E211" w14:textId="77777777" w:rsidR="001349E7" w:rsidRPr="001349E7" w:rsidRDefault="001349E7" w:rsidP="008E3806">
            <w:pPr>
              <w:tabs>
                <w:tab w:val="left" w:pos="2820"/>
              </w:tabs>
              <w:rPr>
                <w:rFonts w:ascii="Poppins" w:hAnsi="Poppins" w:cs="Poppins"/>
              </w:rPr>
            </w:pPr>
            <w:r w:rsidRPr="001349E7">
              <w:rPr>
                <w:rFonts w:ascii="Poppins" w:hAnsi="Poppins" w:cs="Poppins"/>
              </w:rPr>
              <w:t>Connections Delivery Board</w:t>
            </w:r>
          </w:p>
        </w:tc>
      </w:tr>
      <w:tr w:rsidR="001349E7" w:rsidRPr="001349E7" w14:paraId="2D2A3B5E" w14:textId="77777777" w:rsidTr="008E3806">
        <w:trPr>
          <w:trHeight w:val="300"/>
        </w:trPr>
        <w:tc>
          <w:tcPr>
            <w:tcW w:w="2689" w:type="dxa"/>
          </w:tcPr>
          <w:p w14:paraId="3476261A"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lang w:eastAsia="en-GB"/>
              </w:rPr>
              <w:t>CP30</w:t>
            </w:r>
          </w:p>
        </w:tc>
        <w:tc>
          <w:tcPr>
            <w:tcW w:w="6791" w:type="dxa"/>
          </w:tcPr>
          <w:p w14:paraId="33A07160"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lang w:eastAsia="en-GB"/>
              </w:rPr>
              <w:t>Clean Power 2030</w:t>
            </w:r>
          </w:p>
        </w:tc>
      </w:tr>
      <w:tr w:rsidR="001349E7" w:rsidRPr="001349E7" w14:paraId="5FD6A54E" w14:textId="77777777" w:rsidTr="008E3806">
        <w:trPr>
          <w:trHeight w:val="300"/>
        </w:trPr>
        <w:tc>
          <w:tcPr>
            <w:tcW w:w="2689" w:type="dxa"/>
            <w:hideMark/>
          </w:tcPr>
          <w:p w14:paraId="48344BEB" w14:textId="77777777" w:rsidR="001349E7" w:rsidRPr="001349E7" w:rsidRDefault="001349E7" w:rsidP="008E3806">
            <w:pPr>
              <w:tabs>
                <w:tab w:val="left" w:pos="2820"/>
              </w:tabs>
              <w:rPr>
                <w:rFonts w:ascii="Poppins" w:hAnsi="Poppins" w:cs="Poppins"/>
              </w:rPr>
            </w:pPr>
            <w:r w:rsidRPr="001349E7">
              <w:rPr>
                <w:rFonts w:ascii="Poppins" w:hAnsi="Poppins" w:cs="Poppins"/>
              </w:rPr>
              <w:lastRenderedPageBreak/>
              <w:t>CUSC </w:t>
            </w:r>
          </w:p>
        </w:tc>
        <w:tc>
          <w:tcPr>
            <w:tcW w:w="6791" w:type="dxa"/>
            <w:hideMark/>
          </w:tcPr>
          <w:p w14:paraId="19515280" w14:textId="77777777" w:rsidR="001349E7" w:rsidRPr="001349E7" w:rsidRDefault="001349E7" w:rsidP="008E3806">
            <w:pPr>
              <w:tabs>
                <w:tab w:val="left" w:pos="2820"/>
              </w:tabs>
              <w:rPr>
                <w:rFonts w:ascii="Poppins" w:hAnsi="Poppins" w:cs="Poppins"/>
              </w:rPr>
            </w:pPr>
            <w:r w:rsidRPr="001349E7">
              <w:rPr>
                <w:rFonts w:ascii="Poppins" w:hAnsi="Poppins" w:cs="Poppins"/>
              </w:rPr>
              <w:t>Connection and Use of System Code </w:t>
            </w:r>
          </w:p>
        </w:tc>
      </w:tr>
      <w:tr w:rsidR="001349E7" w:rsidRPr="001349E7" w14:paraId="3D400570" w14:textId="77777777" w:rsidTr="008E3806">
        <w:trPr>
          <w:trHeight w:val="300"/>
        </w:trPr>
        <w:tc>
          <w:tcPr>
            <w:tcW w:w="2689" w:type="dxa"/>
          </w:tcPr>
          <w:p w14:paraId="48909301" w14:textId="77777777" w:rsidR="001349E7" w:rsidRPr="001349E7" w:rsidRDefault="001349E7" w:rsidP="008E3806">
            <w:pPr>
              <w:tabs>
                <w:tab w:val="left" w:pos="2820"/>
              </w:tabs>
              <w:rPr>
                <w:rFonts w:ascii="Poppins" w:hAnsi="Poppins" w:cs="Poppins"/>
              </w:rPr>
            </w:pPr>
            <w:r w:rsidRPr="001349E7">
              <w:rPr>
                <w:rFonts w:ascii="Poppins" w:hAnsi="Poppins" w:cs="Poppins"/>
              </w:rPr>
              <w:t>DCMDG</w:t>
            </w:r>
          </w:p>
        </w:tc>
        <w:tc>
          <w:tcPr>
            <w:tcW w:w="6791" w:type="dxa"/>
          </w:tcPr>
          <w:p w14:paraId="6D6455E4" w14:textId="77777777" w:rsidR="001349E7" w:rsidRPr="001349E7" w:rsidRDefault="001349E7" w:rsidP="008E3806">
            <w:pPr>
              <w:tabs>
                <w:tab w:val="left" w:pos="2820"/>
              </w:tabs>
              <w:rPr>
                <w:rFonts w:ascii="Poppins" w:hAnsi="Poppins" w:cs="Poppins"/>
              </w:rPr>
            </w:pPr>
            <w:r w:rsidRPr="001349E7">
              <w:rPr>
                <w:rFonts w:ascii="Poppins" w:hAnsi="Poppins" w:cs="Poppins"/>
              </w:rPr>
              <w:t xml:space="preserve">Distribution Charging Methodologies Development Group </w:t>
            </w:r>
          </w:p>
        </w:tc>
      </w:tr>
      <w:tr w:rsidR="001349E7" w:rsidRPr="001349E7" w14:paraId="28768FCE" w14:textId="77777777" w:rsidTr="008E3806">
        <w:trPr>
          <w:trHeight w:val="300"/>
        </w:trPr>
        <w:tc>
          <w:tcPr>
            <w:tcW w:w="2689" w:type="dxa"/>
          </w:tcPr>
          <w:p w14:paraId="5C1D6C08" w14:textId="77777777" w:rsidR="001349E7" w:rsidRPr="001349E7" w:rsidRDefault="001349E7" w:rsidP="008E3806">
            <w:pPr>
              <w:tabs>
                <w:tab w:val="left" w:pos="2820"/>
              </w:tabs>
              <w:rPr>
                <w:rFonts w:ascii="Poppins" w:hAnsi="Poppins" w:cs="Poppins"/>
              </w:rPr>
            </w:pPr>
            <w:r w:rsidRPr="001349E7">
              <w:rPr>
                <w:rFonts w:ascii="Poppins" w:hAnsi="Poppins" w:cs="Poppins"/>
              </w:rPr>
              <w:t>DCUSA</w:t>
            </w:r>
          </w:p>
        </w:tc>
        <w:tc>
          <w:tcPr>
            <w:tcW w:w="6791" w:type="dxa"/>
          </w:tcPr>
          <w:p w14:paraId="6FC660A5" w14:textId="77777777" w:rsidR="001349E7" w:rsidRPr="001349E7" w:rsidRDefault="001349E7" w:rsidP="008E3806">
            <w:pPr>
              <w:tabs>
                <w:tab w:val="left" w:pos="2820"/>
              </w:tabs>
              <w:rPr>
                <w:rFonts w:ascii="Poppins" w:hAnsi="Poppins" w:cs="Poppins"/>
              </w:rPr>
            </w:pPr>
            <w:r w:rsidRPr="001349E7">
              <w:rPr>
                <w:rFonts w:ascii="Poppins" w:hAnsi="Poppins" w:cs="Poppins"/>
              </w:rPr>
              <w:t>Distribution Connections and Use of Systems Code</w:t>
            </w:r>
          </w:p>
        </w:tc>
      </w:tr>
      <w:tr w:rsidR="001349E7" w:rsidRPr="001349E7" w14:paraId="388D543C" w14:textId="77777777" w:rsidTr="008E3806">
        <w:trPr>
          <w:trHeight w:val="300"/>
        </w:trPr>
        <w:tc>
          <w:tcPr>
            <w:tcW w:w="2689" w:type="dxa"/>
          </w:tcPr>
          <w:p w14:paraId="6777A108"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rPr>
              <w:t>DESNZ</w:t>
            </w:r>
          </w:p>
        </w:tc>
        <w:tc>
          <w:tcPr>
            <w:tcW w:w="6791" w:type="dxa"/>
          </w:tcPr>
          <w:p w14:paraId="7369AFE2"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rPr>
              <w:t>Department for Energy Security and Net Zero</w:t>
            </w:r>
          </w:p>
        </w:tc>
      </w:tr>
      <w:tr w:rsidR="001349E7" w:rsidRPr="001349E7" w14:paraId="6B5C3D57" w14:textId="77777777" w:rsidTr="008E3806">
        <w:trPr>
          <w:trHeight w:val="300"/>
        </w:trPr>
        <w:tc>
          <w:tcPr>
            <w:tcW w:w="2689" w:type="dxa"/>
          </w:tcPr>
          <w:p w14:paraId="20E54143" w14:textId="77777777" w:rsidR="001349E7" w:rsidRPr="001349E7" w:rsidRDefault="001349E7" w:rsidP="008E3806">
            <w:pPr>
              <w:tabs>
                <w:tab w:val="left" w:pos="2820"/>
              </w:tabs>
              <w:rPr>
                <w:rFonts w:ascii="Poppins" w:hAnsi="Poppins" w:cs="Poppins"/>
              </w:rPr>
            </w:pPr>
            <w:r w:rsidRPr="001349E7">
              <w:rPr>
                <w:rFonts w:ascii="Poppins" w:hAnsi="Poppins" w:cs="Poppins"/>
              </w:rPr>
              <w:t>DFES</w:t>
            </w:r>
          </w:p>
        </w:tc>
        <w:tc>
          <w:tcPr>
            <w:tcW w:w="6791" w:type="dxa"/>
          </w:tcPr>
          <w:p w14:paraId="16057B6A" w14:textId="77777777" w:rsidR="001349E7" w:rsidRPr="001349E7" w:rsidRDefault="001349E7" w:rsidP="008E3806">
            <w:pPr>
              <w:tabs>
                <w:tab w:val="left" w:pos="2820"/>
              </w:tabs>
              <w:rPr>
                <w:rFonts w:ascii="Poppins" w:hAnsi="Poppins" w:cs="Poppins"/>
              </w:rPr>
            </w:pPr>
            <w:r w:rsidRPr="001349E7">
              <w:rPr>
                <w:rFonts w:ascii="Poppins" w:hAnsi="Poppins" w:cs="Poppins"/>
              </w:rPr>
              <w:t>Distribution Future Energy Scenarios</w:t>
            </w:r>
          </w:p>
        </w:tc>
      </w:tr>
      <w:tr w:rsidR="001349E7" w:rsidRPr="001349E7" w14:paraId="602B7FD7" w14:textId="77777777" w:rsidTr="008E3806">
        <w:trPr>
          <w:trHeight w:val="300"/>
        </w:trPr>
        <w:tc>
          <w:tcPr>
            <w:tcW w:w="2689" w:type="dxa"/>
          </w:tcPr>
          <w:p w14:paraId="4CAA1669" w14:textId="77777777" w:rsidR="001349E7" w:rsidRPr="001349E7" w:rsidRDefault="001349E7" w:rsidP="008E3806">
            <w:pPr>
              <w:tabs>
                <w:tab w:val="left" w:pos="2820"/>
              </w:tabs>
              <w:rPr>
                <w:rFonts w:ascii="Poppins" w:hAnsi="Poppins" w:cs="Poppins"/>
              </w:rPr>
            </w:pPr>
            <w:r w:rsidRPr="001349E7">
              <w:rPr>
                <w:rFonts w:ascii="Poppins" w:hAnsi="Poppins" w:cs="Poppins"/>
              </w:rPr>
              <w:t>DNO</w:t>
            </w:r>
          </w:p>
        </w:tc>
        <w:tc>
          <w:tcPr>
            <w:tcW w:w="6791" w:type="dxa"/>
          </w:tcPr>
          <w:p w14:paraId="342A91E3" w14:textId="77777777" w:rsidR="001349E7" w:rsidRPr="001349E7" w:rsidRDefault="001349E7" w:rsidP="008E3806">
            <w:pPr>
              <w:tabs>
                <w:tab w:val="left" w:pos="2820"/>
              </w:tabs>
              <w:rPr>
                <w:rFonts w:ascii="Poppins" w:hAnsi="Poppins" w:cs="Poppins"/>
              </w:rPr>
            </w:pPr>
            <w:r w:rsidRPr="001349E7">
              <w:rPr>
                <w:rFonts w:ascii="Poppins" w:hAnsi="Poppins" w:cs="Poppins"/>
              </w:rPr>
              <w:t>Distribution Network Operator</w:t>
            </w:r>
          </w:p>
        </w:tc>
      </w:tr>
      <w:tr w:rsidR="001349E7" w:rsidRPr="001349E7" w14:paraId="3C89F51A" w14:textId="77777777" w:rsidTr="008E3806">
        <w:trPr>
          <w:trHeight w:val="300"/>
        </w:trPr>
        <w:tc>
          <w:tcPr>
            <w:tcW w:w="2689" w:type="dxa"/>
          </w:tcPr>
          <w:p w14:paraId="7FD434CB" w14:textId="77777777" w:rsidR="001349E7" w:rsidRPr="001349E7" w:rsidRDefault="001349E7" w:rsidP="008E3806">
            <w:pPr>
              <w:tabs>
                <w:tab w:val="left" w:pos="2820"/>
              </w:tabs>
              <w:rPr>
                <w:rFonts w:ascii="Poppins" w:hAnsi="Poppins" w:cs="Poppins"/>
              </w:rPr>
            </w:pPr>
            <w:r w:rsidRPr="001349E7">
              <w:rPr>
                <w:rFonts w:ascii="Poppins" w:hAnsi="Poppins" w:cs="Poppins"/>
              </w:rPr>
              <w:t>DSO</w:t>
            </w:r>
          </w:p>
        </w:tc>
        <w:tc>
          <w:tcPr>
            <w:tcW w:w="6791" w:type="dxa"/>
          </w:tcPr>
          <w:p w14:paraId="0AFA39D9" w14:textId="77777777" w:rsidR="001349E7" w:rsidRPr="001349E7" w:rsidRDefault="001349E7" w:rsidP="008E3806">
            <w:pPr>
              <w:tabs>
                <w:tab w:val="left" w:pos="2820"/>
              </w:tabs>
              <w:rPr>
                <w:rFonts w:ascii="Poppins" w:hAnsi="Poppins" w:cs="Poppins"/>
              </w:rPr>
            </w:pPr>
            <w:r w:rsidRPr="001349E7">
              <w:rPr>
                <w:rFonts w:ascii="Poppins" w:hAnsi="Poppins" w:cs="Poppins"/>
              </w:rPr>
              <w:t>Distribution System Operator</w:t>
            </w:r>
          </w:p>
        </w:tc>
      </w:tr>
      <w:tr w:rsidR="001349E7" w:rsidRPr="001349E7" w14:paraId="69622B3B" w14:textId="77777777" w:rsidTr="008E3806">
        <w:trPr>
          <w:trHeight w:val="300"/>
        </w:trPr>
        <w:tc>
          <w:tcPr>
            <w:tcW w:w="2689" w:type="dxa"/>
          </w:tcPr>
          <w:p w14:paraId="138CB3ED" w14:textId="77777777" w:rsidR="001349E7" w:rsidRPr="001349E7" w:rsidRDefault="001349E7" w:rsidP="008E3806">
            <w:pPr>
              <w:tabs>
                <w:tab w:val="left" w:pos="2820"/>
              </w:tabs>
              <w:rPr>
                <w:rFonts w:ascii="Poppins" w:hAnsi="Poppins" w:cs="Poppins"/>
              </w:rPr>
            </w:pPr>
            <w:r w:rsidRPr="001349E7">
              <w:rPr>
                <w:rFonts w:ascii="Poppins" w:hAnsi="Poppins" w:cs="Poppins"/>
              </w:rPr>
              <w:t>DUoS</w:t>
            </w:r>
          </w:p>
        </w:tc>
        <w:tc>
          <w:tcPr>
            <w:tcW w:w="6791" w:type="dxa"/>
          </w:tcPr>
          <w:p w14:paraId="17DF3788" w14:textId="77777777" w:rsidR="001349E7" w:rsidRPr="001349E7" w:rsidRDefault="001349E7" w:rsidP="008E3806">
            <w:pPr>
              <w:tabs>
                <w:tab w:val="left" w:pos="2820"/>
              </w:tabs>
              <w:rPr>
                <w:rFonts w:ascii="Poppins" w:hAnsi="Poppins" w:cs="Poppins"/>
              </w:rPr>
            </w:pPr>
            <w:r w:rsidRPr="001349E7">
              <w:rPr>
                <w:rFonts w:ascii="Poppins" w:hAnsi="Poppins" w:cs="Poppins"/>
              </w:rPr>
              <w:t>Distribution Use of System</w:t>
            </w:r>
          </w:p>
        </w:tc>
      </w:tr>
      <w:tr w:rsidR="001349E7" w:rsidRPr="001349E7" w14:paraId="6494752C" w14:textId="77777777" w:rsidTr="008E3806">
        <w:trPr>
          <w:trHeight w:val="300"/>
        </w:trPr>
        <w:tc>
          <w:tcPr>
            <w:tcW w:w="2689" w:type="dxa"/>
            <w:hideMark/>
          </w:tcPr>
          <w:p w14:paraId="76215391" w14:textId="77777777" w:rsidR="001349E7" w:rsidRPr="001349E7" w:rsidRDefault="001349E7" w:rsidP="008E3806">
            <w:pPr>
              <w:tabs>
                <w:tab w:val="left" w:pos="2820"/>
              </w:tabs>
              <w:rPr>
                <w:rFonts w:ascii="Poppins" w:hAnsi="Poppins" w:cs="Poppins"/>
              </w:rPr>
            </w:pPr>
            <w:r w:rsidRPr="001349E7">
              <w:rPr>
                <w:rFonts w:ascii="Poppins" w:hAnsi="Poppins" w:cs="Poppins"/>
              </w:rPr>
              <w:t>EBR </w:t>
            </w:r>
          </w:p>
        </w:tc>
        <w:tc>
          <w:tcPr>
            <w:tcW w:w="6791" w:type="dxa"/>
            <w:hideMark/>
          </w:tcPr>
          <w:p w14:paraId="778FD968" w14:textId="77777777" w:rsidR="001349E7" w:rsidRPr="001349E7" w:rsidRDefault="001349E7" w:rsidP="008E3806">
            <w:pPr>
              <w:tabs>
                <w:tab w:val="left" w:pos="2820"/>
              </w:tabs>
              <w:rPr>
                <w:rFonts w:ascii="Poppins" w:hAnsi="Poppins" w:cs="Poppins"/>
              </w:rPr>
            </w:pPr>
            <w:r w:rsidRPr="001349E7">
              <w:rPr>
                <w:rFonts w:ascii="Poppins" w:hAnsi="Poppins" w:cs="Poppins"/>
              </w:rPr>
              <w:t>Electricity Balancing Regulation </w:t>
            </w:r>
          </w:p>
        </w:tc>
      </w:tr>
      <w:tr w:rsidR="001349E7" w:rsidRPr="001349E7" w14:paraId="6D2D37FD" w14:textId="77777777" w:rsidTr="008E3806">
        <w:trPr>
          <w:trHeight w:val="300"/>
        </w:trPr>
        <w:tc>
          <w:tcPr>
            <w:tcW w:w="2689" w:type="dxa"/>
          </w:tcPr>
          <w:p w14:paraId="2E6005B5" w14:textId="77777777" w:rsidR="001349E7" w:rsidRPr="001349E7" w:rsidRDefault="001349E7" w:rsidP="008E3806">
            <w:pPr>
              <w:tabs>
                <w:tab w:val="left" w:pos="2820"/>
              </w:tabs>
              <w:rPr>
                <w:rFonts w:ascii="Poppins" w:hAnsi="Poppins" w:cs="Poppins"/>
              </w:rPr>
            </w:pPr>
            <w:r w:rsidRPr="001349E7">
              <w:rPr>
                <w:rFonts w:ascii="Poppins" w:hAnsi="Poppins" w:cs="Poppins"/>
              </w:rPr>
              <w:t>ECCR</w:t>
            </w:r>
          </w:p>
        </w:tc>
        <w:tc>
          <w:tcPr>
            <w:tcW w:w="6791" w:type="dxa"/>
          </w:tcPr>
          <w:p w14:paraId="34C7B9BC"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rPr>
              <w:t>Electricity (Connection Charges) Regulations</w:t>
            </w:r>
          </w:p>
        </w:tc>
      </w:tr>
      <w:tr w:rsidR="001349E7" w:rsidRPr="001349E7" w14:paraId="259692D8" w14:textId="77777777" w:rsidTr="008E3806">
        <w:trPr>
          <w:trHeight w:val="300"/>
        </w:trPr>
        <w:tc>
          <w:tcPr>
            <w:tcW w:w="2689" w:type="dxa"/>
          </w:tcPr>
          <w:p w14:paraId="7AC9C4D1" w14:textId="77777777" w:rsidR="001349E7" w:rsidRPr="001349E7" w:rsidRDefault="001349E7" w:rsidP="008E3806">
            <w:pPr>
              <w:tabs>
                <w:tab w:val="left" w:pos="2820"/>
              </w:tabs>
              <w:rPr>
                <w:rFonts w:ascii="Poppins" w:hAnsi="Poppins" w:cs="Poppins"/>
              </w:rPr>
            </w:pPr>
            <w:r w:rsidRPr="001349E7">
              <w:rPr>
                <w:rFonts w:ascii="Poppins" w:hAnsi="Poppins" w:cs="Poppins"/>
              </w:rPr>
              <w:t>ENA</w:t>
            </w:r>
          </w:p>
        </w:tc>
        <w:tc>
          <w:tcPr>
            <w:tcW w:w="6791" w:type="dxa"/>
          </w:tcPr>
          <w:p w14:paraId="299072F3" w14:textId="77777777" w:rsidR="001349E7" w:rsidRPr="001349E7" w:rsidRDefault="001349E7" w:rsidP="008E3806">
            <w:pPr>
              <w:tabs>
                <w:tab w:val="left" w:pos="2820"/>
              </w:tabs>
              <w:rPr>
                <w:rFonts w:ascii="Poppins" w:hAnsi="Poppins" w:cs="Poppins"/>
              </w:rPr>
            </w:pPr>
            <w:r w:rsidRPr="001349E7">
              <w:rPr>
                <w:rFonts w:ascii="Poppins" w:hAnsi="Poppins" w:cs="Poppins"/>
              </w:rPr>
              <w:t>Energy Networks Association</w:t>
            </w:r>
          </w:p>
        </w:tc>
      </w:tr>
      <w:tr w:rsidR="001349E7" w:rsidRPr="001349E7" w14:paraId="045E0862" w14:textId="77777777" w:rsidTr="008E3806">
        <w:trPr>
          <w:trHeight w:val="300"/>
        </w:trPr>
        <w:tc>
          <w:tcPr>
            <w:tcW w:w="2689" w:type="dxa"/>
          </w:tcPr>
          <w:p w14:paraId="1C8C35A6" w14:textId="77777777" w:rsidR="001349E7" w:rsidRPr="001349E7" w:rsidRDefault="001349E7" w:rsidP="008E3806">
            <w:pPr>
              <w:tabs>
                <w:tab w:val="left" w:pos="2820"/>
              </w:tabs>
              <w:rPr>
                <w:rFonts w:ascii="Poppins" w:hAnsi="Poppins" w:cs="Poppins"/>
              </w:rPr>
            </w:pPr>
            <w:r w:rsidRPr="001349E7">
              <w:rPr>
                <w:rFonts w:ascii="Poppins" w:hAnsi="Poppins" w:cs="Poppins"/>
              </w:rPr>
              <w:t>FID</w:t>
            </w:r>
          </w:p>
        </w:tc>
        <w:tc>
          <w:tcPr>
            <w:tcW w:w="6791" w:type="dxa"/>
          </w:tcPr>
          <w:p w14:paraId="49F2D83A" w14:textId="77777777" w:rsidR="001349E7" w:rsidRPr="001349E7" w:rsidRDefault="001349E7" w:rsidP="008E3806">
            <w:pPr>
              <w:tabs>
                <w:tab w:val="left" w:pos="2820"/>
              </w:tabs>
              <w:rPr>
                <w:rFonts w:ascii="Poppins" w:hAnsi="Poppins" w:cs="Poppins"/>
              </w:rPr>
            </w:pPr>
            <w:r w:rsidRPr="001349E7">
              <w:rPr>
                <w:rFonts w:ascii="Poppins" w:hAnsi="Poppins" w:cs="Poppins"/>
              </w:rPr>
              <w:t>Financial Investment Decisions</w:t>
            </w:r>
          </w:p>
        </w:tc>
      </w:tr>
      <w:tr w:rsidR="001349E7" w:rsidRPr="001349E7" w14:paraId="211730F5" w14:textId="77777777" w:rsidTr="008E3806">
        <w:trPr>
          <w:trHeight w:val="300"/>
        </w:trPr>
        <w:tc>
          <w:tcPr>
            <w:tcW w:w="2689" w:type="dxa"/>
          </w:tcPr>
          <w:p w14:paraId="26744CE1" w14:textId="77777777" w:rsidR="001349E7" w:rsidRPr="001349E7" w:rsidRDefault="001349E7" w:rsidP="008E3806">
            <w:pPr>
              <w:tabs>
                <w:tab w:val="left" w:pos="2820"/>
              </w:tabs>
              <w:rPr>
                <w:rFonts w:ascii="Poppins" w:hAnsi="Poppins" w:cs="Poppins"/>
              </w:rPr>
            </w:pPr>
            <w:r w:rsidRPr="001349E7">
              <w:rPr>
                <w:rFonts w:ascii="Poppins" w:hAnsi="Poppins" w:cs="Poppins"/>
              </w:rPr>
              <w:t>G2TWQ</w:t>
            </w:r>
          </w:p>
        </w:tc>
        <w:tc>
          <w:tcPr>
            <w:tcW w:w="6791" w:type="dxa"/>
          </w:tcPr>
          <w:p w14:paraId="56B60CD5" w14:textId="77777777" w:rsidR="001349E7" w:rsidRPr="001349E7" w:rsidRDefault="001349E7" w:rsidP="008E3806">
            <w:pPr>
              <w:tabs>
                <w:tab w:val="left" w:pos="2820"/>
              </w:tabs>
              <w:rPr>
                <w:rFonts w:ascii="Poppins" w:hAnsi="Poppins" w:cs="Poppins"/>
              </w:rPr>
            </w:pPr>
            <w:r w:rsidRPr="001349E7">
              <w:rPr>
                <w:rFonts w:ascii="Poppins" w:hAnsi="Poppins" w:cs="Poppins"/>
              </w:rPr>
              <w:t>Gate 2 to Whole Queue</w:t>
            </w:r>
          </w:p>
        </w:tc>
      </w:tr>
      <w:tr w:rsidR="001349E7" w:rsidRPr="001349E7" w14:paraId="43566C46" w14:textId="77777777" w:rsidTr="008E3806">
        <w:trPr>
          <w:trHeight w:val="300"/>
        </w:trPr>
        <w:tc>
          <w:tcPr>
            <w:tcW w:w="2689" w:type="dxa"/>
            <w:hideMark/>
          </w:tcPr>
          <w:p w14:paraId="11BDD7DC" w14:textId="77777777" w:rsidR="001349E7" w:rsidRPr="001349E7" w:rsidRDefault="001349E7" w:rsidP="008E3806">
            <w:pPr>
              <w:tabs>
                <w:tab w:val="left" w:pos="2820"/>
              </w:tabs>
              <w:rPr>
                <w:rFonts w:ascii="Poppins" w:hAnsi="Poppins" w:cs="Poppins"/>
              </w:rPr>
            </w:pPr>
            <w:r w:rsidRPr="001349E7">
              <w:rPr>
                <w:rFonts w:ascii="Poppins" w:hAnsi="Poppins" w:cs="Poppins"/>
              </w:rPr>
              <w:t>GC </w:t>
            </w:r>
          </w:p>
        </w:tc>
        <w:tc>
          <w:tcPr>
            <w:tcW w:w="6791" w:type="dxa"/>
            <w:hideMark/>
          </w:tcPr>
          <w:p w14:paraId="3B0ED6E2" w14:textId="77777777" w:rsidR="001349E7" w:rsidRPr="001349E7" w:rsidRDefault="001349E7" w:rsidP="008E3806">
            <w:pPr>
              <w:tabs>
                <w:tab w:val="left" w:pos="2820"/>
              </w:tabs>
              <w:rPr>
                <w:rFonts w:ascii="Poppins" w:hAnsi="Poppins" w:cs="Poppins"/>
              </w:rPr>
            </w:pPr>
            <w:r w:rsidRPr="001349E7">
              <w:rPr>
                <w:rFonts w:ascii="Poppins" w:hAnsi="Poppins" w:cs="Poppins"/>
              </w:rPr>
              <w:t>Grid Code </w:t>
            </w:r>
          </w:p>
        </w:tc>
      </w:tr>
      <w:tr w:rsidR="001349E7" w:rsidRPr="001349E7" w14:paraId="0B306727" w14:textId="77777777" w:rsidTr="008E3806">
        <w:trPr>
          <w:trHeight w:val="300"/>
        </w:trPr>
        <w:tc>
          <w:tcPr>
            <w:tcW w:w="2689" w:type="dxa"/>
          </w:tcPr>
          <w:p w14:paraId="6584A0E7" w14:textId="77777777" w:rsidR="001349E7" w:rsidRPr="001349E7" w:rsidRDefault="001349E7" w:rsidP="008E3806">
            <w:pPr>
              <w:tabs>
                <w:tab w:val="left" w:pos="2820"/>
              </w:tabs>
              <w:rPr>
                <w:rFonts w:ascii="Poppins" w:hAnsi="Poppins" w:cs="Poppins"/>
              </w:rPr>
            </w:pPr>
            <w:r w:rsidRPr="001349E7">
              <w:rPr>
                <w:rFonts w:ascii="Poppins" w:hAnsi="Poppins" w:cs="Poppins"/>
              </w:rPr>
              <w:t>GIS</w:t>
            </w:r>
          </w:p>
        </w:tc>
        <w:tc>
          <w:tcPr>
            <w:tcW w:w="6791" w:type="dxa"/>
          </w:tcPr>
          <w:p w14:paraId="2C1DB834"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rPr>
              <w:t>Gas Insulated Switchgear</w:t>
            </w:r>
          </w:p>
        </w:tc>
      </w:tr>
      <w:tr w:rsidR="001349E7" w:rsidRPr="001349E7" w14:paraId="4BD888DB" w14:textId="77777777" w:rsidTr="008E3806">
        <w:trPr>
          <w:trHeight w:val="300"/>
        </w:trPr>
        <w:tc>
          <w:tcPr>
            <w:tcW w:w="2689" w:type="dxa"/>
          </w:tcPr>
          <w:p w14:paraId="5AF208DA" w14:textId="77777777" w:rsidR="001349E7" w:rsidRPr="001349E7" w:rsidRDefault="001349E7" w:rsidP="008E3806">
            <w:pPr>
              <w:tabs>
                <w:tab w:val="left" w:pos="2820"/>
              </w:tabs>
              <w:rPr>
                <w:rFonts w:ascii="Poppins" w:hAnsi="Poppins" w:cs="Poppins"/>
              </w:rPr>
            </w:pPr>
            <w:r w:rsidRPr="001349E7">
              <w:rPr>
                <w:rFonts w:ascii="Poppins" w:hAnsi="Poppins" w:cs="Poppins"/>
              </w:rPr>
              <w:t>LRE</w:t>
            </w:r>
          </w:p>
        </w:tc>
        <w:tc>
          <w:tcPr>
            <w:tcW w:w="6791" w:type="dxa"/>
          </w:tcPr>
          <w:p w14:paraId="124A6A31" w14:textId="77777777" w:rsidR="001349E7" w:rsidRPr="001349E7" w:rsidRDefault="001349E7" w:rsidP="008E3806">
            <w:pPr>
              <w:tabs>
                <w:tab w:val="left" w:pos="2820"/>
              </w:tabs>
              <w:rPr>
                <w:rFonts w:ascii="Poppins" w:hAnsi="Poppins" w:cs="Poppins"/>
              </w:rPr>
            </w:pPr>
            <w:r w:rsidRPr="001349E7">
              <w:rPr>
                <w:rFonts w:ascii="Poppins" w:hAnsi="Poppins" w:cs="Poppins"/>
              </w:rPr>
              <w:t>Load-Related Expenditure</w:t>
            </w:r>
          </w:p>
        </w:tc>
      </w:tr>
      <w:tr w:rsidR="001349E7" w:rsidRPr="001349E7" w14:paraId="02B5FA07" w14:textId="77777777" w:rsidTr="008E3806">
        <w:trPr>
          <w:trHeight w:val="300"/>
        </w:trPr>
        <w:tc>
          <w:tcPr>
            <w:tcW w:w="2689" w:type="dxa"/>
          </w:tcPr>
          <w:p w14:paraId="4D071618" w14:textId="77777777" w:rsidR="001349E7" w:rsidRPr="001349E7" w:rsidRDefault="001349E7" w:rsidP="008E3806">
            <w:pPr>
              <w:tabs>
                <w:tab w:val="left" w:pos="2820"/>
              </w:tabs>
              <w:rPr>
                <w:rFonts w:ascii="Poppins" w:hAnsi="Poppins" w:cs="Poppins"/>
              </w:rPr>
            </w:pPr>
            <w:r w:rsidRPr="001349E7">
              <w:rPr>
                <w:rFonts w:ascii="Poppins" w:hAnsi="Poppins" w:cs="Poppins"/>
              </w:rPr>
              <w:t>RESP</w:t>
            </w:r>
          </w:p>
        </w:tc>
        <w:tc>
          <w:tcPr>
            <w:tcW w:w="6791" w:type="dxa"/>
          </w:tcPr>
          <w:p w14:paraId="23E77D13" w14:textId="77777777" w:rsidR="001349E7" w:rsidRPr="001349E7" w:rsidRDefault="001349E7" w:rsidP="008E3806">
            <w:pPr>
              <w:tabs>
                <w:tab w:val="left" w:pos="2820"/>
              </w:tabs>
              <w:rPr>
                <w:rFonts w:ascii="Poppins" w:eastAsiaTheme="majorEastAsia" w:hAnsi="Poppins" w:cs="Poppins"/>
              </w:rPr>
            </w:pPr>
            <w:r w:rsidRPr="001349E7">
              <w:rPr>
                <w:rFonts w:ascii="Poppins" w:eastAsia="Arial" w:hAnsi="Poppins" w:cs="Poppins"/>
              </w:rPr>
              <w:t>Regional Energy System Plans</w:t>
            </w:r>
          </w:p>
        </w:tc>
      </w:tr>
      <w:tr w:rsidR="001349E7" w:rsidRPr="001349E7" w14:paraId="22DD5212" w14:textId="77777777" w:rsidTr="008E3806">
        <w:trPr>
          <w:trHeight w:val="300"/>
        </w:trPr>
        <w:tc>
          <w:tcPr>
            <w:tcW w:w="2689" w:type="dxa"/>
          </w:tcPr>
          <w:p w14:paraId="1A4593E5" w14:textId="77777777" w:rsidR="001349E7" w:rsidRPr="001349E7" w:rsidRDefault="001349E7" w:rsidP="008E3806">
            <w:pPr>
              <w:tabs>
                <w:tab w:val="left" w:pos="2820"/>
              </w:tabs>
              <w:rPr>
                <w:rFonts w:ascii="Poppins" w:hAnsi="Poppins" w:cs="Poppins"/>
              </w:rPr>
            </w:pPr>
            <w:r w:rsidRPr="001349E7">
              <w:rPr>
                <w:rFonts w:ascii="Poppins" w:hAnsi="Poppins" w:cs="Poppins"/>
              </w:rPr>
              <w:t>RNP</w:t>
            </w:r>
          </w:p>
        </w:tc>
        <w:tc>
          <w:tcPr>
            <w:tcW w:w="6791" w:type="dxa"/>
          </w:tcPr>
          <w:p w14:paraId="7A477841"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rPr>
              <w:t>Revised National Pricing</w:t>
            </w:r>
          </w:p>
        </w:tc>
      </w:tr>
      <w:tr w:rsidR="001349E7" w:rsidRPr="001349E7" w14:paraId="402CF06F" w14:textId="77777777" w:rsidTr="008E3806">
        <w:trPr>
          <w:trHeight w:val="300"/>
        </w:trPr>
        <w:tc>
          <w:tcPr>
            <w:tcW w:w="2689" w:type="dxa"/>
          </w:tcPr>
          <w:p w14:paraId="1FA24B24" w14:textId="77777777" w:rsidR="001349E7" w:rsidRPr="001349E7" w:rsidRDefault="001349E7" w:rsidP="008E3806">
            <w:pPr>
              <w:tabs>
                <w:tab w:val="left" w:pos="2820"/>
              </w:tabs>
              <w:rPr>
                <w:rFonts w:ascii="Poppins" w:hAnsi="Poppins" w:cs="Poppins"/>
              </w:rPr>
            </w:pPr>
            <w:r w:rsidRPr="001349E7">
              <w:rPr>
                <w:rFonts w:ascii="Poppins" w:hAnsi="Poppins" w:cs="Poppins"/>
              </w:rPr>
              <w:t>SSEP</w:t>
            </w:r>
          </w:p>
        </w:tc>
        <w:tc>
          <w:tcPr>
            <w:tcW w:w="6791" w:type="dxa"/>
          </w:tcPr>
          <w:p w14:paraId="30296C4F" w14:textId="77777777" w:rsidR="001349E7" w:rsidRPr="001349E7" w:rsidRDefault="001349E7" w:rsidP="008E3806">
            <w:pPr>
              <w:tabs>
                <w:tab w:val="left" w:pos="2820"/>
              </w:tabs>
              <w:rPr>
                <w:rFonts w:ascii="Poppins" w:eastAsiaTheme="majorEastAsia" w:hAnsi="Poppins" w:cs="Poppins"/>
              </w:rPr>
            </w:pPr>
            <w:r w:rsidRPr="001349E7">
              <w:rPr>
                <w:rFonts w:ascii="Poppins" w:eastAsia="Arial" w:hAnsi="Poppins" w:cs="Poppins"/>
              </w:rPr>
              <w:t xml:space="preserve">Strategic Spatial Energy Plan </w:t>
            </w:r>
          </w:p>
        </w:tc>
      </w:tr>
      <w:tr w:rsidR="001349E7" w:rsidRPr="001349E7" w14:paraId="4917F4D7" w14:textId="77777777" w:rsidTr="008E3806">
        <w:trPr>
          <w:trHeight w:val="300"/>
        </w:trPr>
        <w:tc>
          <w:tcPr>
            <w:tcW w:w="2689" w:type="dxa"/>
          </w:tcPr>
          <w:p w14:paraId="1710B515" w14:textId="77777777" w:rsidR="001349E7" w:rsidRPr="001349E7" w:rsidRDefault="001349E7" w:rsidP="008E3806">
            <w:pPr>
              <w:tabs>
                <w:tab w:val="left" w:pos="2820"/>
              </w:tabs>
              <w:rPr>
                <w:rFonts w:ascii="Poppins" w:hAnsi="Poppins" w:cs="Poppins"/>
              </w:rPr>
            </w:pPr>
            <w:r w:rsidRPr="001349E7">
              <w:rPr>
                <w:rFonts w:ascii="Poppins" w:hAnsi="Poppins" w:cs="Poppins"/>
              </w:rPr>
              <w:t>SQSS </w:t>
            </w:r>
          </w:p>
        </w:tc>
        <w:tc>
          <w:tcPr>
            <w:tcW w:w="6791" w:type="dxa"/>
          </w:tcPr>
          <w:p w14:paraId="76FFA989" w14:textId="77777777" w:rsidR="001349E7" w:rsidRPr="001349E7" w:rsidRDefault="001349E7" w:rsidP="008E3806">
            <w:pPr>
              <w:tabs>
                <w:tab w:val="left" w:pos="2820"/>
              </w:tabs>
              <w:rPr>
                <w:rFonts w:ascii="Poppins" w:hAnsi="Poppins" w:cs="Poppins"/>
              </w:rPr>
            </w:pPr>
            <w:r w:rsidRPr="001349E7">
              <w:rPr>
                <w:rFonts w:ascii="Poppins" w:hAnsi="Poppins" w:cs="Poppins"/>
              </w:rPr>
              <w:t>Security and Quality of Supply Standards </w:t>
            </w:r>
          </w:p>
        </w:tc>
      </w:tr>
      <w:tr w:rsidR="001349E7" w:rsidRPr="001349E7" w14:paraId="4C4F49C1" w14:textId="77777777" w:rsidTr="008E3806">
        <w:trPr>
          <w:trHeight w:val="300"/>
        </w:trPr>
        <w:tc>
          <w:tcPr>
            <w:tcW w:w="2689" w:type="dxa"/>
            <w:hideMark/>
          </w:tcPr>
          <w:p w14:paraId="3718B08D" w14:textId="77777777" w:rsidR="001349E7" w:rsidRPr="001349E7" w:rsidRDefault="001349E7" w:rsidP="008E3806">
            <w:pPr>
              <w:tabs>
                <w:tab w:val="left" w:pos="2820"/>
              </w:tabs>
              <w:rPr>
                <w:rFonts w:ascii="Poppins" w:hAnsi="Poppins" w:cs="Poppins"/>
              </w:rPr>
            </w:pPr>
            <w:r w:rsidRPr="001349E7">
              <w:rPr>
                <w:rFonts w:ascii="Poppins" w:hAnsi="Poppins" w:cs="Poppins"/>
              </w:rPr>
              <w:t>STC </w:t>
            </w:r>
          </w:p>
        </w:tc>
        <w:tc>
          <w:tcPr>
            <w:tcW w:w="6791" w:type="dxa"/>
            <w:hideMark/>
          </w:tcPr>
          <w:p w14:paraId="4939DFE6" w14:textId="77777777" w:rsidR="001349E7" w:rsidRPr="001349E7" w:rsidRDefault="001349E7" w:rsidP="008E3806">
            <w:pPr>
              <w:tabs>
                <w:tab w:val="left" w:pos="2820"/>
              </w:tabs>
              <w:rPr>
                <w:rFonts w:ascii="Poppins" w:hAnsi="Poppins" w:cs="Poppins"/>
              </w:rPr>
            </w:pPr>
            <w:r w:rsidRPr="001349E7">
              <w:rPr>
                <w:rFonts w:ascii="Poppins" w:hAnsi="Poppins" w:cs="Poppins"/>
              </w:rPr>
              <w:t>System Operator Transmission Owner Code </w:t>
            </w:r>
          </w:p>
        </w:tc>
      </w:tr>
      <w:tr w:rsidR="001349E7" w:rsidRPr="001349E7" w14:paraId="44934CC8" w14:textId="77777777" w:rsidTr="008E3806">
        <w:trPr>
          <w:trHeight w:val="300"/>
        </w:trPr>
        <w:tc>
          <w:tcPr>
            <w:tcW w:w="2689" w:type="dxa"/>
            <w:hideMark/>
          </w:tcPr>
          <w:p w14:paraId="18CD4ABB" w14:textId="77777777" w:rsidR="001349E7" w:rsidRPr="001349E7" w:rsidRDefault="001349E7" w:rsidP="008E3806">
            <w:pPr>
              <w:tabs>
                <w:tab w:val="left" w:pos="2820"/>
              </w:tabs>
              <w:rPr>
                <w:rFonts w:ascii="Poppins" w:hAnsi="Poppins" w:cs="Poppins"/>
              </w:rPr>
            </w:pPr>
            <w:r w:rsidRPr="001349E7">
              <w:rPr>
                <w:rFonts w:ascii="Poppins" w:hAnsi="Poppins" w:cs="Poppins"/>
              </w:rPr>
              <w:lastRenderedPageBreak/>
              <w:t>T&amp;Cs </w:t>
            </w:r>
          </w:p>
        </w:tc>
        <w:tc>
          <w:tcPr>
            <w:tcW w:w="6791" w:type="dxa"/>
            <w:hideMark/>
          </w:tcPr>
          <w:p w14:paraId="16B8A4B4" w14:textId="77777777" w:rsidR="001349E7" w:rsidRPr="001349E7" w:rsidRDefault="001349E7" w:rsidP="008E3806">
            <w:pPr>
              <w:tabs>
                <w:tab w:val="left" w:pos="2820"/>
              </w:tabs>
              <w:rPr>
                <w:rFonts w:ascii="Poppins" w:hAnsi="Poppins" w:cs="Poppins"/>
              </w:rPr>
            </w:pPr>
            <w:r w:rsidRPr="001349E7">
              <w:rPr>
                <w:rFonts w:ascii="Poppins" w:hAnsi="Poppins" w:cs="Poppins"/>
              </w:rPr>
              <w:t>Terms and Conditions </w:t>
            </w:r>
          </w:p>
        </w:tc>
      </w:tr>
      <w:tr w:rsidR="001349E7" w:rsidRPr="001349E7" w14:paraId="231AC02E" w14:textId="77777777" w:rsidTr="008E3806">
        <w:trPr>
          <w:trHeight w:val="300"/>
        </w:trPr>
        <w:tc>
          <w:tcPr>
            <w:tcW w:w="2689" w:type="dxa"/>
            <w:hideMark/>
          </w:tcPr>
          <w:p w14:paraId="61F561C1" w14:textId="77777777" w:rsidR="001349E7" w:rsidRPr="001349E7" w:rsidRDefault="001349E7" w:rsidP="008E3806">
            <w:pPr>
              <w:tabs>
                <w:tab w:val="left" w:pos="2820"/>
              </w:tabs>
              <w:rPr>
                <w:rFonts w:ascii="Poppins" w:hAnsi="Poppins" w:cs="Poppins"/>
              </w:rPr>
            </w:pPr>
            <w:r w:rsidRPr="001349E7">
              <w:rPr>
                <w:rFonts w:ascii="Poppins" w:hAnsi="Poppins" w:cs="Poppins"/>
              </w:rPr>
              <w:t>GSP</w:t>
            </w:r>
          </w:p>
        </w:tc>
        <w:tc>
          <w:tcPr>
            <w:tcW w:w="6791" w:type="dxa"/>
            <w:hideMark/>
          </w:tcPr>
          <w:p w14:paraId="1DB425CC" w14:textId="77777777" w:rsidR="001349E7" w:rsidRPr="001349E7" w:rsidRDefault="001349E7" w:rsidP="008E3806">
            <w:pPr>
              <w:tabs>
                <w:tab w:val="left" w:pos="2820"/>
              </w:tabs>
              <w:rPr>
                <w:rFonts w:ascii="Poppins" w:hAnsi="Poppins" w:cs="Poppins"/>
              </w:rPr>
            </w:pPr>
            <w:r w:rsidRPr="001349E7">
              <w:rPr>
                <w:rFonts w:ascii="Poppins" w:hAnsi="Poppins" w:cs="Poppins"/>
              </w:rPr>
              <w:t>Grid Supply Point</w:t>
            </w:r>
          </w:p>
        </w:tc>
      </w:tr>
      <w:tr w:rsidR="001349E7" w:rsidRPr="001349E7" w14:paraId="1022167D" w14:textId="77777777" w:rsidTr="008E3806">
        <w:trPr>
          <w:trHeight w:val="300"/>
        </w:trPr>
        <w:tc>
          <w:tcPr>
            <w:tcW w:w="2689" w:type="dxa"/>
          </w:tcPr>
          <w:p w14:paraId="544B599C" w14:textId="77777777" w:rsidR="001349E7" w:rsidRPr="001349E7" w:rsidRDefault="001349E7" w:rsidP="008E3806">
            <w:pPr>
              <w:tabs>
                <w:tab w:val="left" w:pos="2820"/>
              </w:tabs>
              <w:rPr>
                <w:rFonts w:ascii="Poppins" w:hAnsi="Poppins" w:cs="Poppins"/>
              </w:rPr>
            </w:pPr>
            <w:r w:rsidRPr="001349E7">
              <w:rPr>
                <w:rFonts w:ascii="Poppins" w:hAnsi="Poppins" w:cs="Poppins"/>
              </w:rPr>
              <w:t>NGED</w:t>
            </w:r>
          </w:p>
        </w:tc>
        <w:tc>
          <w:tcPr>
            <w:tcW w:w="6791" w:type="dxa"/>
          </w:tcPr>
          <w:p w14:paraId="69B998A6" w14:textId="77777777" w:rsidR="001349E7" w:rsidRPr="001349E7" w:rsidRDefault="001349E7" w:rsidP="008E3806">
            <w:pPr>
              <w:tabs>
                <w:tab w:val="left" w:pos="2820"/>
              </w:tabs>
              <w:rPr>
                <w:rFonts w:ascii="Poppins" w:hAnsi="Poppins" w:cs="Poppins"/>
              </w:rPr>
            </w:pPr>
            <w:r w:rsidRPr="001349E7">
              <w:rPr>
                <w:rFonts w:ascii="Poppins" w:hAnsi="Poppins" w:cs="Poppins"/>
              </w:rPr>
              <w:t>National Grid Electricity Distribution</w:t>
            </w:r>
          </w:p>
        </w:tc>
      </w:tr>
      <w:tr w:rsidR="001349E7" w:rsidRPr="001349E7" w14:paraId="3C16D0AA" w14:textId="77777777" w:rsidTr="008E3806">
        <w:trPr>
          <w:trHeight w:val="300"/>
        </w:trPr>
        <w:tc>
          <w:tcPr>
            <w:tcW w:w="2689" w:type="dxa"/>
          </w:tcPr>
          <w:p w14:paraId="06C56865" w14:textId="77777777" w:rsidR="001349E7" w:rsidRPr="001349E7" w:rsidRDefault="001349E7" w:rsidP="008E3806">
            <w:pPr>
              <w:tabs>
                <w:tab w:val="left" w:pos="2820"/>
              </w:tabs>
              <w:rPr>
                <w:rFonts w:ascii="Poppins" w:hAnsi="Poppins" w:cs="Poppins"/>
              </w:rPr>
            </w:pPr>
            <w:r w:rsidRPr="001349E7">
              <w:rPr>
                <w:rFonts w:ascii="Poppins" w:hAnsi="Poppins" w:cs="Poppins"/>
              </w:rPr>
              <w:t>NGET</w:t>
            </w:r>
          </w:p>
        </w:tc>
        <w:tc>
          <w:tcPr>
            <w:tcW w:w="6791" w:type="dxa"/>
          </w:tcPr>
          <w:p w14:paraId="5E4299E5" w14:textId="77777777" w:rsidR="001349E7" w:rsidRPr="001349E7" w:rsidRDefault="001349E7" w:rsidP="008E3806">
            <w:pPr>
              <w:tabs>
                <w:tab w:val="left" w:pos="2820"/>
              </w:tabs>
              <w:rPr>
                <w:rFonts w:ascii="Poppins" w:hAnsi="Poppins" w:cs="Poppins"/>
              </w:rPr>
            </w:pPr>
            <w:r w:rsidRPr="001349E7">
              <w:rPr>
                <w:rFonts w:ascii="Poppins" w:hAnsi="Poppins" w:cs="Poppins"/>
              </w:rPr>
              <w:t>National Grid Electricity Transmission</w:t>
            </w:r>
          </w:p>
        </w:tc>
      </w:tr>
      <w:tr w:rsidR="001349E7" w:rsidRPr="001349E7" w14:paraId="4B6AC8C5" w14:textId="77777777" w:rsidTr="008E3806">
        <w:trPr>
          <w:trHeight w:val="300"/>
        </w:trPr>
        <w:tc>
          <w:tcPr>
            <w:tcW w:w="2689" w:type="dxa"/>
          </w:tcPr>
          <w:p w14:paraId="524FE7DE" w14:textId="77777777" w:rsidR="001349E7" w:rsidRPr="001349E7" w:rsidRDefault="001349E7" w:rsidP="008E3806">
            <w:pPr>
              <w:tabs>
                <w:tab w:val="left" w:pos="2820"/>
              </w:tabs>
              <w:rPr>
                <w:rFonts w:ascii="Poppins" w:hAnsi="Poppins" w:cs="Poppins"/>
              </w:rPr>
            </w:pPr>
            <w:r w:rsidRPr="001349E7">
              <w:rPr>
                <w:rFonts w:ascii="Poppins" w:hAnsi="Poppins" w:cs="Poppins"/>
              </w:rPr>
              <w:t>NESO</w:t>
            </w:r>
          </w:p>
        </w:tc>
        <w:tc>
          <w:tcPr>
            <w:tcW w:w="6791" w:type="dxa"/>
          </w:tcPr>
          <w:p w14:paraId="5E7F0EE1" w14:textId="77777777" w:rsidR="001349E7" w:rsidRPr="001349E7" w:rsidRDefault="001349E7" w:rsidP="008E3806">
            <w:pPr>
              <w:tabs>
                <w:tab w:val="left" w:pos="2820"/>
              </w:tabs>
              <w:rPr>
                <w:rFonts w:ascii="Poppins" w:hAnsi="Poppins" w:cs="Poppins"/>
              </w:rPr>
            </w:pPr>
            <w:r w:rsidRPr="001349E7">
              <w:rPr>
                <w:rFonts w:ascii="Poppins" w:hAnsi="Poppins" w:cs="Poppins"/>
              </w:rPr>
              <w:t>National Energy System Operator</w:t>
            </w:r>
          </w:p>
        </w:tc>
      </w:tr>
      <w:tr w:rsidR="001349E7" w:rsidRPr="001349E7" w14:paraId="6638EB50" w14:textId="77777777" w:rsidTr="008E3806">
        <w:trPr>
          <w:trHeight w:val="300"/>
        </w:trPr>
        <w:tc>
          <w:tcPr>
            <w:tcW w:w="2689" w:type="dxa"/>
          </w:tcPr>
          <w:p w14:paraId="5AA51125" w14:textId="77777777" w:rsidR="001349E7" w:rsidRPr="001349E7" w:rsidRDefault="001349E7" w:rsidP="008E3806">
            <w:pPr>
              <w:tabs>
                <w:tab w:val="left" w:pos="2820"/>
              </w:tabs>
              <w:rPr>
                <w:rFonts w:ascii="Poppins" w:hAnsi="Poppins" w:cs="Poppins"/>
              </w:rPr>
            </w:pPr>
            <w:r w:rsidRPr="001349E7">
              <w:rPr>
                <w:rFonts w:ascii="Poppins" w:hAnsi="Poppins" w:cs="Poppins"/>
              </w:rPr>
              <w:t>NTCC</w:t>
            </w:r>
          </w:p>
        </w:tc>
        <w:tc>
          <w:tcPr>
            <w:tcW w:w="6791" w:type="dxa"/>
          </w:tcPr>
          <w:p w14:paraId="098FA1A5" w14:textId="77777777" w:rsidR="001349E7" w:rsidRPr="001349E7" w:rsidRDefault="001349E7" w:rsidP="008E3806">
            <w:pPr>
              <w:tabs>
                <w:tab w:val="left" w:pos="2820"/>
              </w:tabs>
              <w:rPr>
                <w:rFonts w:ascii="Poppins" w:hAnsi="Poppins" w:cs="Poppins"/>
              </w:rPr>
            </w:pPr>
            <w:r w:rsidRPr="001349E7">
              <w:rPr>
                <w:rFonts w:ascii="Poppins" w:hAnsi="Poppins" w:cs="Poppins"/>
              </w:rPr>
              <w:t>New Transmission Capacity Charges</w:t>
            </w:r>
          </w:p>
        </w:tc>
      </w:tr>
      <w:tr w:rsidR="001349E7" w:rsidRPr="001349E7" w14:paraId="2E322A20" w14:textId="77777777" w:rsidTr="008E3806">
        <w:trPr>
          <w:trHeight w:val="300"/>
        </w:trPr>
        <w:tc>
          <w:tcPr>
            <w:tcW w:w="2689" w:type="dxa"/>
          </w:tcPr>
          <w:p w14:paraId="30A85AFE" w14:textId="77777777" w:rsidR="001349E7" w:rsidRPr="001349E7" w:rsidRDefault="001349E7" w:rsidP="008E3806">
            <w:pPr>
              <w:tabs>
                <w:tab w:val="left" w:pos="2820"/>
              </w:tabs>
              <w:rPr>
                <w:rFonts w:ascii="Poppins" w:hAnsi="Poppins" w:cs="Poppins"/>
              </w:rPr>
            </w:pPr>
            <w:r w:rsidRPr="001349E7">
              <w:rPr>
                <w:rFonts w:ascii="Poppins" w:hAnsi="Poppins" w:cs="Poppins"/>
              </w:rPr>
              <w:t>RIIO</w:t>
            </w:r>
          </w:p>
        </w:tc>
        <w:tc>
          <w:tcPr>
            <w:tcW w:w="6791" w:type="dxa"/>
          </w:tcPr>
          <w:p w14:paraId="45B79093" w14:textId="77777777" w:rsidR="001349E7" w:rsidRPr="001349E7" w:rsidRDefault="001349E7" w:rsidP="008E3806">
            <w:pPr>
              <w:tabs>
                <w:tab w:val="left" w:pos="2820"/>
              </w:tabs>
              <w:rPr>
                <w:rFonts w:ascii="Poppins" w:hAnsi="Poppins" w:cs="Poppins"/>
              </w:rPr>
            </w:pPr>
            <w:r w:rsidRPr="001349E7">
              <w:rPr>
                <w:rFonts w:ascii="Poppins" w:hAnsi="Poppins" w:cs="Poppins"/>
              </w:rPr>
              <w:t>Revenues = Incentives + Innovation + Outputs</w:t>
            </w:r>
          </w:p>
        </w:tc>
      </w:tr>
      <w:tr w:rsidR="001349E7" w:rsidRPr="001349E7" w14:paraId="3868DE8D" w14:textId="77777777" w:rsidTr="008E3806">
        <w:trPr>
          <w:trHeight w:val="300"/>
        </w:trPr>
        <w:tc>
          <w:tcPr>
            <w:tcW w:w="2689" w:type="dxa"/>
          </w:tcPr>
          <w:p w14:paraId="5586D57B" w14:textId="77777777" w:rsidR="001349E7" w:rsidRPr="001349E7" w:rsidRDefault="001349E7" w:rsidP="008E3806">
            <w:pPr>
              <w:tabs>
                <w:tab w:val="left" w:pos="2820"/>
              </w:tabs>
              <w:rPr>
                <w:rFonts w:ascii="Poppins" w:hAnsi="Poppins" w:cs="Poppins"/>
              </w:rPr>
            </w:pPr>
            <w:r w:rsidRPr="001349E7">
              <w:rPr>
                <w:rFonts w:ascii="Poppins" w:hAnsi="Poppins" w:cs="Poppins"/>
              </w:rPr>
              <w:t>SCG</w:t>
            </w:r>
          </w:p>
        </w:tc>
        <w:tc>
          <w:tcPr>
            <w:tcW w:w="6791" w:type="dxa"/>
          </w:tcPr>
          <w:p w14:paraId="30B8B0F1" w14:textId="77777777" w:rsidR="001349E7" w:rsidRPr="001349E7" w:rsidRDefault="001349E7" w:rsidP="008E3806">
            <w:pPr>
              <w:tabs>
                <w:tab w:val="left" w:pos="2820"/>
              </w:tabs>
              <w:rPr>
                <w:rFonts w:ascii="Poppins" w:hAnsi="Poppins" w:cs="Poppins"/>
              </w:rPr>
            </w:pPr>
            <w:r w:rsidRPr="001349E7">
              <w:rPr>
                <w:rFonts w:ascii="Poppins" w:hAnsi="Poppins" w:cs="Poppins"/>
              </w:rPr>
              <w:t>Strategic Connections Group</w:t>
            </w:r>
          </w:p>
        </w:tc>
      </w:tr>
      <w:tr w:rsidR="001349E7" w:rsidRPr="001349E7" w14:paraId="473EE8A0" w14:textId="77777777" w:rsidTr="008E3806">
        <w:trPr>
          <w:trHeight w:val="300"/>
        </w:trPr>
        <w:tc>
          <w:tcPr>
            <w:tcW w:w="2689" w:type="dxa"/>
          </w:tcPr>
          <w:p w14:paraId="2A2E8843" w14:textId="77777777" w:rsidR="001349E7" w:rsidRPr="001349E7" w:rsidRDefault="001349E7" w:rsidP="008E3806">
            <w:pPr>
              <w:tabs>
                <w:tab w:val="left" w:pos="2820"/>
              </w:tabs>
              <w:rPr>
                <w:rFonts w:ascii="Poppins" w:hAnsi="Poppins" w:cs="Poppins"/>
              </w:rPr>
            </w:pPr>
            <w:r w:rsidRPr="001349E7">
              <w:rPr>
                <w:rFonts w:ascii="Poppins" w:hAnsi="Poppins" w:cs="Poppins"/>
              </w:rPr>
              <w:t>SGT</w:t>
            </w:r>
          </w:p>
        </w:tc>
        <w:tc>
          <w:tcPr>
            <w:tcW w:w="6791" w:type="dxa"/>
          </w:tcPr>
          <w:p w14:paraId="562E3F4A" w14:textId="77777777" w:rsidR="001349E7" w:rsidRPr="001349E7" w:rsidRDefault="001349E7" w:rsidP="008E3806">
            <w:pPr>
              <w:tabs>
                <w:tab w:val="left" w:pos="2820"/>
              </w:tabs>
              <w:rPr>
                <w:rFonts w:ascii="Poppins" w:hAnsi="Poppins" w:cs="Poppins"/>
              </w:rPr>
            </w:pPr>
            <w:r w:rsidRPr="001349E7">
              <w:rPr>
                <w:rFonts w:ascii="Poppins" w:hAnsi="Poppins" w:cs="Poppins"/>
              </w:rPr>
              <w:t>Super Grid Transformer</w:t>
            </w:r>
          </w:p>
        </w:tc>
      </w:tr>
      <w:tr w:rsidR="001349E7" w:rsidRPr="001349E7" w14:paraId="15764ECA" w14:textId="77777777" w:rsidTr="008E3806">
        <w:trPr>
          <w:trHeight w:val="300"/>
        </w:trPr>
        <w:tc>
          <w:tcPr>
            <w:tcW w:w="2689" w:type="dxa"/>
          </w:tcPr>
          <w:p w14:paraId="536F2DCC" w14:textId="77777777" w:rsidR="001349E7" w:rsidRPr="001349E7" w:rsidRDefault="001349E7" w:rsidP="008E3806">
            <w:pPr>
              <w:tabs>
                <w:tab w:val="left" w:pos="2820"/>
              </w:tabs>
              <w:rPr>
                <w:rFonts w:ascii="Poppins" w:hAnsi="Poppins" w:cs="Poppins"/>
              </w:rPr>
            </w:pPr>
            <w:r w:rsidRPr="001349E7">
              <w:rPr>
                <w:rFonts w:ascii="Poppins" w:hAnsi="Poppins" w:cs="Poppins"/>
              </w:rPr>
              <w:t>TCMF</w:t>
            </w:r>
          </w:p>
        </w:tc>
        <w:tc>
          <w:tcPr>
            <w:tcW w:w="6791" w:type="dxa"/>
          </w:tcPr>
          <w:p w14:paraId="6B3CC59F" w14:textId="77777777" w:rsidR="001349E7" w:rsidRPr="001349E7" w:rsidRDefault="001349E7" w:rsidP="008E3806">
            <w:pPr>
              <w:tabs>
                <w:tab w:val="left" w:pos="2820"/>
              </w:tabs>
              <w:rPr>
                <w:rFonts w:ascii="Poppins" w:hAnsi="Poppins" w:cs="Poppins"/>
              </w:rPr>
            </w:pPr>
            <w:r w:rsidRPr="001349E7">
              <w:rPr>
                <w:rFonts w:ascii="Poppins" w:hAnsi="Poppins" w:cs="Poppins"/>
              </w:rPr>
              <w:t>Transmission Charging Methodology Forum</w:t>
            </w:r>
          </w:p>
        </w:tc>
      </w:tr>
      <w:tr w:rsidR="001349E7" w:rsidRPr="001349E7" w14:paraId="29FCDA73" w14:textId="77777777" w:rsidTr="008E3806">
        <w:trPr>
          <w:trHeight w:val="300"/>
        </w:trPr>
        <w:tc>
          <w:tcPr>
            <w:tcW w:w="2689" w:type="dxa"/>
          </w:tcPr>
          <w:p w14:paraId="76B94FC1" w14:textId="77777777" w:rsidR="001349E7" w:rsidRPr="001349E7" w:rsidRDefault="001349E7" w:rsidP="008E3806">
            <w:pPr>
              <w:tabs>
                <w:tab w:val="left" w:pos="2820"/>
              </w:tabs>
              <w:rPr>
                <w:rFonts w:ascii="Poppins" w:hAnsi="Poppins" w:cs="Poppins"/>
              </w:rPr>
            </w:pPr>
            <w:r w:rsidRPr="001349E7">
              <w:rPr>
                <w:rFonts w:ascii="Poppins" w:hAnsi="Poppins" w:cs="Poppins"/>
              </w:rPr>
              <w:t>TDR</w:t>
            </w:r>
          </w:p>
        </w:tc>
        <w:tc>
          <w:tcPr>
            <w:tcW w:w="6791" w:type="dxa"/>
          </w:tcPr>
          <w:p w14:paraId="3E359E0B" w14:textId="77777777" w:rsidR="001349E7" w:rsidRPr="001349E7" w:rsidRDefault="001349E7" w:rsidP="008E3806">
            <w:pPr>
              <w:tabs>
                <w:tab w:val="left" w:pos="2820"/>
              </w:tabs>
              <w:rPr>
                <w:rFonts w:ascii="Poppins" w:hAnsi="Poppins" w:cs="Poppins"/>
              </w:rPr>
            </w:pPr>
            <w:r w:rsidRPr="001349E7">
              <w:rPr>
                <w:rFonts w:ascii="Poppins" w:hAnsi="Poppins" w:cs="Poppins"/>
              </w:rPr>
              <w:t>Transmission Demand Residual</w:t>
            </w:r>
          </w:p>
        </w:tc>
      </w:tr>
      <w:tr w:rsidR="001349E7" w:rsidRPr="001349E7" w14:paraId="3DBF49F6" w14:textId="77777777" w:rsidTr="008E3806">
        <w:trPr>
          <w:trHeight w:val="300"/>
        </w:trPr>
        <w:tc>
          <w:tcPr>
            <w:tcW w:w="2689" w:type="dxa"/>
          </w:tcPr>
          <w:p w14:paraId="64552812" w14:textId="77777777" w:rsidR="001349E7" w:rsidRPr="001349E7" w:rsidRDefault="001349E7" w:rsidP="008E3806">
            <w:pPr>
              <w:tabs>
                <w:tab w:val="left" w:pos="2820"/>
              </w:tabs>
              <w:rPr>
                <w:rFonts w:ascii="Poppins" w:hAnsi="Poppins" w:cs="Poppins"/>
              </w:rPr>
            </w:pPr>
            <w:r w:rsidRPr="001349E7">
              <w:rPr>
                <w:rFonts w:ascii="Poppins" w:hAnsi="Poppins" w:cs="Poppins"/>
              </w:rPr>
              <w:t>TEC</w:t>
            </w:r>
          </w:p>
        </w:tc>
        <w:tc>
          <w:tcPr>
            <w:tcW w:w="6791" w:type="dxa"/>
          </w:tcPr>
          <w:p w14:paraId="31EF2085" w14:textId="77777777" w:rsidR="001349E7" w:rsidRPr="001349E7" w:rsidRDefault="001349E7" w:rsidP="008E3806">
            <w:pPr>
              <w:tabs>
                <w:tab w:val="left" w:pos="2820"/>
              </w:tabs>
              <w:rPr>
                <w:rFonts w:ascii="Poppins" w:hAnsi="Poppins" w:cs="Poppins"/>
              </w:rPr>
            </w:pPr>
            <w:r w:rsidRPr="001349E7">
              <w:rPr>
                <w:rFonts w:ascii="Poppins" w:eastAsiaTheme="majorEastAsia" w:hAnsi="Poppins" w:cs="Poppins"/>
              </w:rPr>
              <w:t>Transmission Entry Capacity</w:t>
            </w:r>
          </w:p>
        </w:tc>
      </w:tr>
      <w:tr w:rsidR="001349E7" w:rsidRPr="001349E7" w14:paraId="1C1F42D2" w14:textId="77777777" w:rsidTr="008E3806">
        <w:trPr>
          <w:trHeight w:val="300"/>
        </w:trPr>
        <w:tc>
          <w:tcPr>
            <w:tcW w:w="2689" w:type="dxa"/>
          </w:tcPr>
          <w:p w14:paraId="6E852C52" w14:textId="77777777" w:rsidR="001349E7" w:rsidRPr="001349E7" w:rsidRDefault="001349E7" w:rsidP="008E3806">
            <w:pPr>
              <w:tabs>
                <w:tab w:val="left" w:pos="2820"/>
              </w:tabs>
              <w:rPr>
                <w:rFonts w:ascii="Poppins" w:hAnsi="Poppins" w:cs="Poppins"/>
              </w:rPr>
            </w:pPr>
            <w:r w:rsidRPr="001349E7">
              <w:rPr>
                <w:rFonts w:ascii="Poppins" w:hAnsi="Poppins" w:cs="Poppins"/>
              </w:rPr>
              <w:t>TO</w:t>
            </w:r>
          </w:p>
        </w:tc>
        <w:tc>
          <w:tcPr>
            <w:tcW w:w="6791" w:type="dxa"/>
          </w:tcPr>
          <w:p w14:paraId="06022A59" w14:textId="77777777" w:rsidR="001349E7" w:rsidRPr="001349E7" w:rsidRDefault="001349E7" w:rsidP="008E3806">
            <w:pPr>
              <w:tabs>
                <w:tab w:val="left" w:pos="2820"/>
              </w:tabs>
              <w:rPr>
                <w:rFonts w:ascii="Poppins" w:hAnsi="Poppins" w:cs="Poppins"/>
              </w:rPr>
            </w:pPr>
            <w:r w:rsidRPr="001349E7">
              <w:rPr>
                <w:rFonts w:ascii="Poppins" w:hAnsi="Poppins" w:cs="Poppins"/>
              </w:rPr>
              <w:t>Transmission Owner</w:t>
            </w:r>
          </w:p>
        </w:tc>
      </w:tr>
      <w:tr w:rsidR="001349E7" w:rsidRPr="001349E7" w14:paraId="79DAD662" w14:textId="77777777" w:rsidTr="008E3806">
        <w:trPr>
          <w:trHeight w:val="300"/>
        </w:trPr>
        <w:tc>
          <w:tcPr>
            <w:tcW w:w="2689" w:type="dxa"/>
          </w:tcPr>
          <w:p w14:paraId="76532563" w14:textId="77777777" w:rsidR="001349E7" w:rsidRPr="001349E7" w:rsidRDefault="001349E7" w:rsidP="008E3806">
            <w:pPr>
              <w:tabs>
                <w:tab w:val="left" w:pos="2820"/>
              </w:tabs>
              <w:rPr>
                <w:rFonts w:ascii="Poppins" w:hAnsi="Poppins" w:cs="Poppins"/>
              </w:rPr>
            </w:pPr>
            <w:r w:rsidRPr="001349E7">
              <w:rPr>
                <w:rFonts w:ascii="Poppins" w:hAnsi="Poppins" w:cs="Poppins"/>
              </w:rPr>
              <w:t>TNUoS</w:t>
            </w:r>
          </w:p>
        </w:tc>
        <w:tc>
          <w:tcPr>
            <w:tcW w:w="6791" w:type="dxa"/>
          </w:tcPr>
          <w:p w14:paraId="6ECE4285" w14:textId="77777777" w:rsidR="001349E7" w:rsidRPr="001349E7" w:rsidRDefault="001349E7" w:rsidP="008E3806">
            <w:pPr>
              <w:tabs>
                <w:tab w:val="left" w:pos="2820"/>
              </w:tabs>
              <w:rPr>
                <w:rFonts w:ascii="Poppins" w:hAnsi="Poppins" w:cs="Poppins"/>
              </w:rPr>
            </w:pPr>
            <w:r w:rsidRPr="001349E7">
              <w:rPr>
                <w:rFonts w:ascii="Poppins" w:hAnsi="Poppins" w:cs="Poppins"/>
              </w:rPr>
              <w:t>Transmission Network Use of System</w:t>
            </w:r>
          </w:p>
        </w:tc>
      </w:tr>
    </w:tbl>
    <w:p w14:paraId="636324F5" w14:textId="77777777" w:rsidR="00CA0621" w:rsidRDefault="00CA0621" w:rsidP="00CA0621">
      <w:pPr>
        <w:rPr>
          <w:rFonts w:ascii="Poppins" w:hAnsi="Poppins" w:cs="Poppins"/>
        </w:rPr>
      </w:pPr>
    </w:p>
    <w:p w14:paraId="6D8DB7DF" w14:textId="77777777" w:rsidR="00CA0621" w:rsidRPr="00C55635" w:rsidRDefault="00CA0621" w:rsidP="00CA0621">
      <w:pPr>
        <w:rPr>
          <w:rFonts w:ascii="Poppins" w:hAnsi="Poppins" w:cs="Poppins"/>
          <w:b/>
          <w:bCs/>
          <w:color w:val="3F0731"/>
        </w:rPr>
      </w:pPr>
      <w:r w:rsidRPr="00C55635">
        <w:rPr>
          <w:rFonts w:ascii="Poppins" w:hAnsi="Poppins" w:cs="Poppins"/>
          <w:b/>
          <w:bCs/>
          <w:color w:val="3F0731"/>
        </w:rPr>
        <w:t>Reference material</w:t>
      </w:r>
    </w:p>
    <w:p w14:paraId="1348DAB8" w14:textId="2FF91071" w:rsidR="00005D1E" w:rsidRPr="000D7CE9" w:rsidRDefault="000D7CE9" w:rsidP="00005D1E">
      <w:pPr>
        <w:numPr>
          <w:ilvl w:val="0"/>
          <w:numId w:val="39"/>
        </w:numPr>
        <w:tabs>
          <w:tab w:val="left" w:pos="2820"/>
        </w:tabs>
        <w:rPr>
          <w:rFonts w:ascii="Poppins" w:hAnsi="Poppins" w:cs="Poppins"/>
          <w:lang w:val="de-DE"/>
        </w:rPr>
      </w:pPr>
      <w:hyperlink r:id="rId25" w:history="1">
        <w:r w:rsidR="00005D1E" w:rsidRPr="000D7CE9">
          <w:rPr>
            <w:rStyle w:val="Hyperlink"/>
            <w:rFonts w:ascii="Poppins" w:hAnsi="Poppins" w:cs="Poppins"/>
            <w:lang w:val="de-DE"/>
          </w:rPr>
          <w:t>DCP461</w:t>
        </w:r>
      </w:hyperlink>
    </w:p>
    <w:p w14:paraId="6CFB928B" w14:textId="5FE04A29" w:rsidR="00005D1E" w:rsidRPr="000D7CE9" w:rsidRDefault="000D7CE9" w:rsidP="00005D1E">
      <w:pPr>
        <w:numPr>
          <w:ilvl w:val="0"/>
          <w:numId w:val="39"/>
        </w:numPr>
        <w:tabs>
          <w:tab w:val="left" w:pos="2820"/>
        </w:tabs>
        <w:rPr>
          <w:rFonts w:ascii="Poppins" w:hAnsi="Poppins" w:cs="Poppins"/>
        </w:rPr>
      </w:pPr>
      <w:hyperlink r:id="rId26" w:history="1">
        <w:r w:rsidR="00005D1E" w:rsidRPr="000D7CE9">
          <w:rPr>
            <w:rStyle w:val="Hyperlink"/>
            <w:rFonts w:ascii="Poppins" w:hAnsi="Poppins" w:cs="Poppins"/>
          </w:rPr>
          <w:t>Roadnight Taylor Podcast on Super Grid Transformer Charging</w:t>
        </w:r>
      </w:hyperlink>
    </w:p>
    <w:p w14:paraId="0A31C633" w14:textId="5EAB55C6" w:rsidR="00005D1E" w:rsidRPr="000D7CE9" w:rsidRDefault="000D7CE9" w:rsidP="00005D1E">
      <w:pPr>
        <w:numPr>
          <w:ilvl w:val="0"/>
          <w:numId w:val="39"/>
        </w:numPr>
        <w:tabs>
          <w:tab w:val="left" w:pos="2820"/>
        </w:tabs>
        <w:rPr>
          <w:rFonts w:ascii="Poppins" w:hAnsi="Poppins" w:cs="Poppins"/>
        </w:rPr>
      </w:pPr>
      <w:hyperlink r:id="rId27" w:history="1">
        <w:r w:rsidR="00005D1E" w:rsidRPr="000D7CE9">
          <w:rPr>
            <w:rStyle w:val="Hyperlink"/>
            <w:rFonts w:ascii="Poppins" w:hAnsi="Poppins" w:cs="Poppins"/>
          </w:rPr>
          <w:t>Connections Action Plan published November 2023</w:t>
        </w:r>
      </w:hyperlink>
    </w:p>
    <w:p w14:paraId="328D54FD" w14:textId="6B94E331" w:rsidR="00005D1E" w:rsidRPr="000D7CE9" w:rsidRDefault="000D7CE9" w:rsidP="00005D1E">
      <w:pPr>
        <w:numPr>
          <w:ilvl w:val="0"/>
          <w:numId w:val="39"/>
        </w:numPr>
        <w:tabs>
          <w:tab w:val="left" w:pos="2820"/>
        </w:tabs>
        <w:rPr>
          <w:rFonts w:ascii="Poppins" w:hAnsi="Poppins" w:cs="Poppins"/>
        </w:rPr>
      </w:pPr>
      <w:hyperlink r:id="rId28" w:history="1">
        <w:r w:rsidR="00005D1E" w:rsidRPr="000D7CE9">
          <w:rPr>
            <w:rStyle w:val="Hyperlink"/>
            <w:rFonts w:ascii="Poppins" w:hAnsi="Poppins" w:cs="Poppins"/>
          </w:rPr>
          <w:t xml:space="preserve">Ofgem </w:t>
        </w:r>
        <w:r w:rsidR="00005D1E" w:rsidRPr="000D7CE9">
          <w:rPr>
            <w:rStyle w:val="Hyperlink"/>
            <w:rFonts w:ascii="Poppins" w:hAnsi="Poppins" w:cs="Poppins"/>
            <w:kern w:val="0"/>
            <w14:ligatures w14:val="none"/>
          </w:rPr>
          <w:t>Access and Forward-looking Charges Significant Code Review: consultation on minded positions June 2021</w:t>
        </w:r>
      </w:hyperlink>
    </w:p>
    <w:p w14:paraId="73024C2B" w14:textId="1087D410" w:rsidR="00005D1E" w:rsidRPr="000D7CE9" w:rsidRDefault="000D7CE9" w:rsidP="00005D1E">
      <w:pPr>
        <w:numPr>
          <w:ilvl w:val="0"/>
          <w:numId w:val="39"/>
        </w:numPr>
        <w:tabs>
          <w:tab w:val="left" w:pos="2820"/>
        </w:tabs>
        <w:rPr>
          <w:rFonts w:ascii="Poppins" w:hAnsi="Poppins" w:cs="Poppins"/>
        </w:rPr>
      </w:pPr>
      <w:hyperlink r:id="rId29" w:history="1">
        <w:r w:rsidR="00005D1E" w:rsidRPr="000D7CE9">
          <w:rPr>
            <w:rStyle w:val="Hyperlink"/>
            <w:rFonts w:ascii="Poppins" w:hAnsi="Poppins" w:cs="Poppins"/>
          </w:rPr>
          <w:t>Connections Delivery Board April 2024 Minutes</w:t>
        </w:r>
      </w:hyperlink>
    </w:p>
    <w:p w14:paraId="6679C765" w14:textId="00222C08" w:rsidR="00CA0621" w:rsidRPr="000D7CE9" w:rsidRDefault="000D7CE9" w:rsidP="00CA0621">
      <w:pPr>
        <w:numPr>
          <w:ilvl w:val="0"/>
          <w:numId w:val="39"/>
        </w:numPr>
        <w:tabs>
          <w:tab w:val="left" w:pos="2820"/>
        </w:tabs>
        <w:rPr>
          <w:rFonts w:ascii="Poppins" w:hAnsi="Poppins" w:cs="Poppins"/>
        </w:rPr>
      </w:pPr>
      <w:hyperlink r:id="rId30" w:history="1">
        <w:r w:rsidR="00005D1E" w:rsidRPr="000D7CE9">
          <w:rPr>
            <w:rStyle w:val="Hyperlink"/>
            <w:rFonts w:ascii="Poppins" w:hAnsi="Poppins" w:cs="Poppins"/>
          </w:rPr>
          <w:t>Roadnight Taylor Open Letter on Reforming Super Grid Transformer Charging September 2023</w:t>
        </w:r>
      </w:hyperlink>
    </w:p>
    <w:p w14:paraId="68E35AA3" w14:textId="77777777" w:rsidR="00CA0621" w:rsidRPr="00DE2E99" w:rsidRDefault="00CA0621" w:rsidP="00CA0621">
      <w:pPr>
        <w:pStyle w:val="CA7"/>
        <w:shd w:val="clear" w:color="auto" w:fill="3F0731"/>
        <w:rPr>
          <w:rFonts w:ascii="Poppins" w:hAnsi="Poppins" w:cs="Poppins"/>
        </w:rPr>
      </w:pPr>
      <w:bookmarkStart w:id="43" w:name="_Toc207608731"/>
      <w:r w:rsidRPr="00DE2E99">
        <w:rPr>
          <w:rFonts w:ascii="Poppins" w:hAnsi="Poppins" w:cs="Poppins"/>
        </w:rPr>
        <w:t>Annexes</w:t>
      </w:r>
      <w:bookmarkEnd w:id="43"/>
    </w:p>
    <w:tbl>
      <w:tblPr>
        <w:tblStyle w:val="TableGrid1"/>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263"/>
        <w:gridCol w:w="7230"/>
      </w:tblGrid>
      <w:tr w:rsidR="00CA0621" w:rsidRPr="00DE2E99" w14:paraId="109BC4F7" w14:textId="77777777">
        <w:tc>
          <w:tcPr>
            <w:tcW w:w="2263" w:type="dxa"/>
            <w:shd w:val="clear" w:color="auto" w:fill="7A3864"/>
          </w:tcPr>
          <w:p w14:paraId="7518FD19" w14:textId="77777777" w:rsidR="00CA0621" w:rsidRPr="00DE2E99" w:rsidRDefault="00CA0621">
            <w:pPr>
              <w:rPr>
                <w:rFonts w:ascii="Poppins" w:hAnsi="Poppins" w:cs="Poppins"/>
                <w:b/>
                <w:color w:val="FFFFFF" w:themeColor="background1"/>
              </w:rPr>
            </w:pPr>
            <w:r w:rsidRPr="00DE2E99">
              <w:rPr>
                <w:rFonts w:ascii="Poppins" w:hAnsi="Poppins" w:cs="Poppins"/>
                <w:b/>
                <w:color w:val="FFFFFF" w:themeColor="background1"/>
              </w:rPr>
              <w:t>Annex</w:t>
            </w:r>
          </w:p>
        </w:tc>
        <w:tc>
          <w:tcPr>
            <w:tcW w:w="7230" w:type="dxa"/>
            <w:shd w:val="clear" w:color="auto" w:fill="7A3864"/>
          </w:tcPr>
          <w:p w14:paraId="5AB298C6" w14:textId="77777777" w:rsidR="00CA0621" w:rsidRPr="00DE2E99" w:rsidRDefault="00CA0621">
            <w:pPr>
              <w:rPr>
                <w:rFonts w:ascii="Poppins" w:hAnsi="Poppins" w:cs="Poppins"/>
                <w:b/>
                <w:color w:val="FFFFFF" w:themeColor="background1"/>
              </w:rPr>
            </w:pPr>
            <w:r w:rsidRPr="00DE2E99">
              <w:rPr>
                <w:rFonts w:ascii="Poppins" w:hAnsi="Poppins" w:cs="Poppins"/>
                <w:b/>
                <w:color w:val="FFFFFF" w:themeColor="background1"/>
              </w:rPr>
              <w:t>Information</w:t>
            </w:r>
          </w:p>
        </w:tc>
      </w:tr>
      <w:tr w:rsidR="0031623C" w:rsidRPr="0031623C" w14:paraId="3776EBEA" w14:textId="77777777">
        <w:tc>
          <w:tcPr>
            <w:tcW w:w="2263" w:type="dxa"/>
          </w:tcPr>
          <w:p w14:paraId="42DFF3D3" w14:textId="68810FD5" w:rsidR="0031623C" w:rsidRPr="0031623C" w:rsidRDefault="0031623C" w:rsidP="0031623C">
            <w:pPr>
              <w:rPr>
                <w:rFonts w:ascii="Poppins" w:hAnsi="Poppins" w:cs="Poppins"/>
                <w:color w:val="000000" w:themeColor="text1"/>
              </w:rPr>
            </w:pPr>
            <w:r w:rsidRPr="0031623C">
              <w:rPr>
                <w:rFonts w:ascii="Poppins" w:hAnsi="Poppins" w:cs="Poppins"/>
              </w:rPr>
              <w:t>Annex 01</w:t>
            </w:r>
          </w:p>
        </w:tc>
        <w:tc>
          <w:tcPr>
            <w:tcW w:w="7230" w:type="dxa"/>
          </w:tcPr>
          <w:p w14:paraId="2499B30E" w14:textId="3A495DD5" w:rsidR="0031623C" w:rsidRPr="0031623C" w:rsidRDefault="0031623C" w:rsidP="0031623C">
            <w:pPr>
              <w:rPr>
                <w:rFonts w:ascii="Poppins" w:hAnsi="Poppins" w:cs="Poppins"/>
                <w:color w:val="000000" w:themeColor="text1"/>
              </w:rPr>
            </w:pPr>
            <w:r w:rsidRPr="0031623C">
              <w:rPr>
                <w:rFonts w:ascii="Poppins" w:hAnsi="Poppins" w:cs="Poppins"/>
              </w:rPr>
              <w:t>CMP460 Proposal Form</w:t>
            </w:r>
          </w:p>
        </w:tc>
      </w:tr>
      <w:tr w:rsidR="0031623C" w:rsidRPr="0031623C" w14:paraId="1059AF51" w14:textId="77777777">
        <w:tc>
          <w:tcPr>
            <w:tcW w:w="2263" w:type="dxa"/>
          </w:tcPr>
          <w:p w14:paraId="684542F4" w14:textId="2BA18D18" w:rsidR="0031623C" w:rsidRPr="0031623C" w:rsidRDefault="0031623C" w:rsidP="0031623C">
            <w:pPr>
              <w:rPr>
                <w:rFonts w:ascii="Poppins" w:hAnsi="Poppins" w:cs="Poppins"/>
                <w:color w:val="000000" w:themeColor="text1"/>
              </w:rPr>
            </w:pPr>
            <w:r w:rsidRPr="0031623C">
              <w:rPr>
                <w:rFonts w:ascii="Poppins" w:hAnsi="Poppins" w:cs="Poppins"/>
              </w:rPr>
              <w:t xml:space="preserve">Annex 02 </w:t>
            </w:r>
          </w:p>
        </w:tc>
        <w:tc>
          <w:tcPr>
            <w:tcW w:w="7230" w:type="dxa"/>
          </w:tcPr>
          <w:p w14:paraId="44266767" w14:textId="6FAEADF4" w:rsidR="0031623C" w:rsidRPr="0031623C" w:rsidRDefault="0031623C" w:rsidP="0031623C">
            <w:pPr>
              <w:rPr>
                <w:rFonts w:ascii="Poppins" w:hAnsi="Poppins" w:cs="Poppins"/>
                <w:color w:val="000000" w:themeColor="text1"/>
              </w:rPr>
            </w:pPr>
            <w:r w:rsidRPr="0031623C">
              <w:rPr>
                <w:rFonts w:ascii="Poppins" w:hAnsi="Poppins" w:cs="Poppins"/>
              </w:rPr>
              <w:t>CMP460 Terms of Reference V2</w:t>
            </w:r>
          </w:p>
        </w:tc>
      </w:tr>
      <w:tr w:rsidR="0031623C" w:rsidRPr="0031623C" w14:paraId="0D7AA383" w14:textId="77777777">
        <w:tc>
          <w:tcPr>
            <w:tcW w:w="2263" w:type="dxa"/>
          </w:tcPr>
          <w:p w14:paraId="5BA7622F" w14:textId="1B545A7C" w:rsidR="0031623C" w:rsidRPr="0031623C" w:rsidRDefault="0031623C" w:rsidP="0031623C">
            <w:pPr>
              <w:rPr>
                <w:rFonts w:ascii="Poppins" w:hAnsi="Poppins" w:cs="Poppins"/>
                <w:color w:val="000000" w:themeColor="text1"/>
              </w:rPr>
            </w:pPr>
            <w:r w:rsidRPr="0031623C">
              <w:rPr>
                <w:rFonts w:ascii="Poppins" w:hAnsi="Poppins" w:cs="Poppins"/>
              </w:rPr>
              <w:t>Annex 03</w:t>
            </w:r>
          </w:p>
        </w:tc>
        <w:tc>
          <w:tcPr>
            <w:tcW w:w="7230" w:type="dxa"/>
          </w:tcPr>
          <w:p w14:paraId="3F6E81E9" w14:textId="0E200FCE" w:rsidR="0031623C" w:rsidRPr="0031623C" w:rsidRDefault="0031623C" w:rsidP="0031623C">
            <w:pPr>
              <w:rPr>
                <w:rFonts w:ascii="Poppins" w:hAnsi="Poppins" w:cs="Poppins"/>
                <w:color w:val="000000" w:themeColor="text1"/>
              </w:rPr>
            </w:pPr>
            <w:r w:rsidRPr="0031623C">
              <w:rPr>
                <w:rFonts w:ascii="Poppins" w:hAnsi="Poppins" w:cs="Poppins"/>
              </w:rPr>
              <w:t>CMP460 Worked Examples Baseline vs the Original Proposal</w:t>
            </w:r>
          </w:p>
        </w:tc>
      </w:tr>
      <w:tr w:rsidR="0031623C" w:rsidRPr="0031623C" w14:paraId="29FBB880" w14:textId="77777777">
        <w:tc>
          <w:tcPr>
            <w:tcW w:w="2263" w:type="dxa"/>
          </w:tcPr>
          <w:p w14:paraId="34DF803A" w14:textId="7F0B139F" w:rsidR="0031623C" w:rsidRPr="0031623C" w:rsidRDefault="0031623C" w:rsidP="0031623C">
            <w:pPr>
              <w:rPr>
                <w:rFonts w:ascii="Poppins" w:hAnsi="Poppins" w:cs="Poppins"/>
                <w:color w:val="000000" w:themeColor="text1"/>
              </w:rPr>
            </w:pPr>
            <w:r w:rsidRPr="0031623C">
              <w:rPr>
                <w:rFonts w:ascii="Poppins" w:hAnsi="Poppins" w:cs="Poppins"/>
              </w:rPr>
              <w:t>Annex 04</w:t>
            </w:r>
          </w:p>
        </w:tc>
        <w:tc>
          <w:tcPr>
            <w:tcW w:w="7230" w:type="dxa"/>
          </w:tcPr>
          <w:p w14:paraId="7D470E47" w14:textId="66FCA708" w:rsidR="0031623C" w:rsidRPr="0031623C" w:rsidRDefault="0031623C" w:rsidP="0031623C">
            <w:pPr>
              <w:rPr>
                <w:rFonts w:ascii="Poppins" w:hAnsi="Poppins" w:cs="Poppins"/>
                <w:color w:val="000000" w:themeColor="text1"/>
              </w:rPr>
            </w:pPr>
            <w:r w:rsidRPr="0031623C">
              <w:rPr>
                <w:rFonts w:ascii="Poppins" w:hAnsi="Poppins" w:cs="Poppins"/>
              </w:rPr>
              <w:t>CMP460 Comparison of Worked Examples Baseline vs the Original Proposal</w:t>
            </w:r>
          </w:p>
        </w:tc>
      </w:tr>
      <w:tr w:rsidR="0031623C" w:rsidRPr="0031623C" w14:paraId="3EE43B6B" w14:textId="77777777">
        <w:tc>
          <w:tcPr>
            <w:tcW w:w="2263" w:type="dxa"/>
          </w:tcPr>
          <w:p w14:paraId="38E1BFF9" w14:textId="05A0C9E2" w:rsidR="0031623C" w:rsidRPr="0031623C" w:rsidRDefault="0031623C" w:rsidP="0031623C">
            <w:pPr>
              <w:rPr>
                <w:rFonts w:ascii="Poppins" w:hAnsi="Poppins" w:cs="Poppins"/>
                <w:color w:val="000000" w:themeColor="text1"/>
              </w:rPr>
            </w:pPr>
            <w:r w:rsidRPr="0031623C">
              <w:rPr>
                <w:rFonts w:ascii="Poppins" w:hAnsi="Poppins" w:cs="Poppins"/>
              </w:rPr>
              <w:t>Annex 05</w:t>
            </w:r>
          </w:p>
        </w:tc>
        <w:tc>
          <w:tcPr>
            <w:tcW w:w="7230" w:type="dxa"/>
          </w:tcPr>
          <w:p w14:paraId="478E7325" w14:textId="046D8CC4" w:rsidR="0031623C" w:rsidRPr="0031623C" w:rsidRDefault="0031623C" w:rsidP="0031623C">
            <w:pPr>
              <w:rPr>
                <w:rFonts w:ascii="Poppins" w:hAnsi="Poppins" w:cs="Poppins"/>
                <w:color w:val="000000" w:themeColor="text1"/>
              </w:rPr>
            </w:pPr>
            <w:r w:rsidRPr="0031623C">
              <w:rPr>
                <w:rFonts w:ascii="Poppins" w:hAnsi="Poppins" w:cs="Poppins"/>
              </w:rPr>
              <w:t>CMP460 Original Proposal Charging Impact Assessment - NESO Data</w:t>
            </w:r>
          </w:p>
        </w:tc>
      </w:tr>
      <w:tr w:rsidR="0031623C" w:rsidRPr="0031623C" w14:paraId="48A137E0" w14:textId="77777777">
        <w:tc>
          <w:tcPr>
            <w:tcW w:w="2263" w:type="dxa"/>
          </w:tcPr>
          <w:p w14:paraId="44EE04CE" w14:textId="79BDEE60" w:rsidR="0031623C" w:rsidRPr="00593AD0" w:rsidRDefault="0031623C" w:rsidP="0031623C">
            <w:pPr>
              <w:rPr>
                <w:rFonts w:ascii="Poppins" w:hAnsi="Poppins" w:cs="Poppins"/>
                <w:color w:val="000000" w:themeColor="text1"/>
              </w:rPr>
            </w:pPr>
            <w:r w:rsidRPr="00593AD0">
              <w:rPr>
                <w:rFonts w:ascii="Poppins" w:hAnsi="Poppins" w:cs="Poppins"/>
              </w:rPr>
              <w:t>Annex 06</w:t>
            </w:r>
          </w:p>
        </w:tc>
        <w:tc>
          <w:tcPr>
            <w:tcW w:w="7230" w:type="dxa"/>
          </w:tcPr>
          <w:p w14:paraId="7A3B1BAA" w14:textId="066EDB67" w:rsidR="0031623C" w:rsidRPr="00593AD0" w:rsidRDefault="0031623C" w:rsidP="0031623C">
            <w:pPr>
              <w:rPr>
                <w:rFonts w:ascii="Poppins" w:hAnsi="Poppins" w:cs="Poppins"/>
                <w:color w:val="000000" w:themeColor="text1"/>
              </w:rPr>
            </w:pPr>
            <w:r w:rsidRPr="00593AD0">
              <w:rPr>
                <w:rFonts w:ascii="Poppins" w:hAnsi="Poppins" w:cs="Poppins"/>
              </w:rPr>
              <w:t>CMP460 Partial Capital Contribution Model</w:t>
            </w:r>
          </w:p>
        </w:tc>
      </w:tr>
      <w:tr w:rsidR="00593AD0" w:rsidRPr="0031623C" w14:paraId="2A19C163" w14:textId="77777777">
        <w:tc>
          <w:tcPr>
            <w:tcW w:w="2263" w:type="dxa"/>
          </w:tcPr>
          <w:p w14:paraId="75506EA7" w14:textId="2F35E2EC" w:rsidR="00593AD0" w:rsidRPr="00593AD0" w:rsidRDefault="00593AD0" w:rsidP="00593AD0">
            <w:pPr>
              <w:rPr>
                <w:rFonts w:ascii="Poppins" w:hAnsi="Poppins" w:cs="Poppins"/>
                <w:highlight w:val="yellow"/>
              </w:rPr>
            </w:pPr>
            <w:r w:rsidRPr="00593AD0">
              <w:rPr>
                <w:rFonts w:ascii="Poppins" w:hAnsi="Poppins" w:cs="Poppins"/>
                <w:highlight w:val="yellow"/>
              </w:rPr>
              <w:t>Annex 07</w:t>
            </w:r>
          </w:p>
        </w:tc>
        <w:tc>
          <w:tcPr>
            <w:tcW w:w="7230" w:type="dxa"/>
          </w:tcPr>
          <w:p w14:paraId="29B1EE90" w14:textId="414F43B6" w:rsidR="00593AD0" w:rsidRPr="00593AD0" w:rsidRDefault="00593AD0" w:rsidP="00593AD0">
            <w:pPr>
              <w:rPr>
                <w:rFonts w:ascii="Poppins" w:hAnsi="Poppins" w:cs="Poppins"/>
                <w:highlight w:val="yellow"/>
              </w:rPr>
            </w:pPr>
            <w:r w:rsidRPr="00593AD0">
              <w:rPr>
                <w:rFonts w:ascii="Poppins" w:hAnsi="Poppins" w:cs="Poppins"/>
                <w:highlight w:val="yellow"/>
              </w:rPr>
              <w:t>[…]</w:t>
            </w:r>
          </w:p>
        </w:tc>
      </w:tr>
      <w:tr w:rsidR="00593AD0" w:rsidRPr="0031623C" w14:paraId="1B098C86" w14:textId="77777777">
        <w:tc>
          <w:tcPr>
            <w:tcW w:w="2263" w:type="dxa"/>
          </w:tcPr>
          <w:p w14:paraId="48C0CA47" w14:textId="18E57E01" w:rsidR="00593AD0" w:rsidRPr="00593AD0" w:rsidRDefault="00593AD0" w:rsidP="00593AD0">
            <w:pPr>
              <w:rPr>
                <w:rFonts w:ascii="Poppins" w:hAnsi="Poppins" w:cs="Poppins"/>
                <w:highlight w:val="yellow"/>
              </w:rPr>
            </w:pPr>
            <w:r w:rsidRPr="00593AD0">
              <w:rPr>
                <w:rFonts w:ascii="Poppins" w:hAnsi="Poppins" w:cs="Poppins"/>
                <w:highlight w:val="yellow"/>
              </w:rPr>
              <w:t>Annex 08</w:t>
            </w:r>
          </w:p>
        </w:tc>
        <w:tc>
          <w:tcPr>
            <w:tcW w:w="7230" w:type="dxa"/>
          </w:tcPr>
          <w:p w14:paraId="271CE853" w14:textId="371F9A85" w:rsidR="00593AD0" w:rsidRPr="00593AD0" w:rsidRDefault="00593AD0" w:rsidP="00593AD0">
            <w:pPr>
              <w:rPr>
                <w:rFonts w:ascii="Poppins" w:hAnsi="Poppins" w:cs="Poppins"/>
                <w:highlight w:val="yellow"/>
              </w:rPr>
            </w:pPr>
            <w:r w:rsidRPr="00593AD0">
              <w:rPr>
                <w:rFonts w:ascii="Poppins" w:hAnsi="Poppins" w:cs="Poppins"/>
                <w:highlight w:val="yellow"/>
              </w:rPr>
              <w:t>[…]</w:t>
            </w:r>
          </w:p>
        </w:tc>
      </w:tr>
      <w:tr w:rsidR="00593AD0" w:rsidRPr="0031623C" w14:paraId="7FE990FB" w14:textId="77777777">
        <w:tc>
          <w:tcPr>
            <w:tcW w:w="2263" w:type="dxa"/>
          </w:tcPr>
          <w:p w14:paraId="2302A6C3" w14:textId="5277B5F5" w:rsidR="00593AD0" w:rsidRPr="00593AD0" w:rsidRDefault="00593AD0" w:rsidP="00593AD0">
            <w:pPr>
              <w:rPr>
                <w:rFonts w:ascii="Poppins" w:hAnsi="Poppins" w:cs="Poppins"/>
                <w:highlight w:val="yellow"/>
              </w:rPr>
            </w:pPr>
            <w:r w:rsidRPr="00593AD0">
              <w:rPr>
                <w:rFonts w:ascii="Poppins" w:hAnsi="Poppins" w:cs="Poppins"/>
                <w:highlight w:val="yellow"/>
              </w:rPr>
              <w:t>Annex 09</w:t>
            </w:r>
          </w:p>
        </w:tc>
        <w:tc>
          <w:tcPr>
            <w:tcW w:w="7230" w:type="dxa"/>
          </w:tcPr>
          <w:p w14:paraId="37C44721" w14:textId="558C6972" w:rsidR="00593AD0" w:rsidRPr="00593AD0" w:rsidRDefault="00593AD0" w:rsidP="00593AD0">
            <w:pPr>
              <w:rPr>
                <w:rFonts w:ascii="Poppins" w:hAnsi="Poppins" w:cs="Poppins"/>
                <w:highlight w:val="yellow"/>
              </w:rPr>
            </w:pPr>
            <w:r w:rsidRPr="00593AD0">
              <w:rPr>
                <w:rFonts w:ascii="Poppins" w:hAnsi="Poppins" w:cs="Poppins"/>
                <w:highlight w:val="yellow"/>
              </w:rPr>
              <w:t>[…]</w:t>
            </w:r>
          </w:p>
        </w:tc>
      </w:tr>
    </w:tbl>
    <w:p w14:paraId="54C83DB4" w14:textId="77777777" w:rsidR="00F4613D" w:rsidRPr="00CA0621" w:rsidRDefault="00F4613D" w:rsidP="00CA0621"/>
    <w:sectPr w:rsidR="00F4613D" w:rsidRPr="00CA0621" w:rsidSect="00AE2241">
      <w:headerReference w:type="default" r:id="rId31"/>
      <w:footerReference w:type="default" r:id="rId32"/>
      <w:headerReference w:type="first" r:id="rId33"/>
      <w:footerReference w:type="first" r:id="rId34"/>
      <w:pgSz w:w="11906" w:h="16838" w:code="9"/>
      <w:pgMar w:top="2495" w:right="1077" w:bottom="1361" w:left="1077"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tthew Larreta" w:date="2026-04-13T15:08:00Z" w:initials="ML">
    <w:p w14:paraId="2A83B623" w14:textId="77777777" w:rsidR="00CB7DB2" w:rsidRDefault="00CD2665" w:rsidP="00CB7DB2">
      <w:pPr>
        <w:pStyle w:val="CommentText"/>
      </w:pPr>
      <w:r>
        <w:rPr>
          <w:rStyle w:val="CommentReference"/>
        </w:rPr>
        <w:annotationRef/>
      </w:r>
      <w:r w:rsidR="00CB7DB2">
        <w:t>To be updated.</w:t>
      </w:r>
    </w:p>
  </w:comment>
  <w:comment w:id="29" w:author="Guidance" w:date="2025-06-09T11:02:00Z" w:initials="ML">
    <w:p w14:paraId="728C96B9" w14:textId="69B1D823" w:rsidR="008D2663" w:rsidRDefault="008D2663" w:rsidP="008D2663">
      <w:pPr>
        <w:pStyle w:val="CommentText"/>
      </w:pPr>
      <w:r>
        <w:rPr>
          <w:rStyle w:val="CommentReference"/>
        </w:rPr>
        <w:annotationRef/>
      </w:r>
      <w:r>
        <w:t xml:space="preserve">Only include if a WACM/WAGCM/ASM was voted and then withdrawn - then acknowledge this in the table below too. E.g WACM2 - </w:t>
      </w:r>
      <w:r>
        <w:rPr>
          <w:b/>
          <w:bCs/>
        </w:rPr>
        <w:t>Withdrawn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83B623" w15:done="0"/>
  <w15:commentEx w15:paraId="728C96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679E66" w16cex:dateUtc="2026-04-13T14:08:00Z"/>
  <w16cex:commentExtensible w16cex:durableId="69420E23" w16cex:dateUtc="2025-06-09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83B623" w16cid:durableId="12679E66"/>
  <w16cid:commentId w16cid:paraId="728C96B9" w16cid:durableId="69420E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5CC67" w14:textId="77777777" w:rsidR="00E31B0D" w:rsidRDefault="00E31B0D" w:rsidP="00A62BFF">
      <w:pPr>
        <w:spacing w:after="0"/>
      </w:pPr>
      <w:r>
        <w:separator/>
      </w:r>
    </w:p>
  </w:endnote>
  <w:endnote w:type="continuationSeparator" w:id="0">
    <w:p w14:paraId="08199756" w14:textId="77777777" w:rsidR="00E31B0D" w:rsidRDefault="00E31B0D" w:rsidP="00A62BFF">
      <w:pPr>
        <w:spacing w:after="0"/>
      </w:pPr>
      <w:r>
        <w:continuationSeparator/>
      </w:r>
    </w:p>
  </w:endnote>
  <w:endnote w:type="continuationNotice" w:id="1">
    <w:p w14:paraId="28675BBC" w14:textId="77777777" w:rsidR="00E31B0D" w:rsidRDefault="00E31B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oppins">
    <w:panose1 w:val="00000500000000000000"/>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GPMinchoE">
    <w:charset w:val="80"/>
    <w:family w:val="roman"/>
    <w:pitch w:val="variable"/>
    <w:sig w:usb0="E00002FF" w:usb1="2AC7EDFE" w:usb2="00000012" w:usb3="00000000" w:csb0="0002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96304"/>
      <w:docPartObj>
        <w:docPartGallery w:val="Page Numbers (Bottom of Page)"/>
        <w:docPartUnique/>
      </w:docPartObj>
    </w:sdtPr>
    <w:sdtContent>
      <w:p w14:paraId="40EF5CE1" w14:textId="77777777" w:rsidR="00AE2241" w:rsidRDefault="00AE2241" w:rsidP="00AE2241">
        <w:pPr>
          <w:pStyle w:val="Footer"/>
          <w:jc w:val="right"/>
        </w:pPr>
        <w:r>
          <w:fldChar w:fldCharType="begin"/>
        </w:r>
        <w:r>
          <w:instrText>PAGE   \* MERGEFORMAT</w:instrText>
        </w:r>
        <w:r>
          <w:fldChar w:fldCharType="separate"/>
        </w:r>
        <w:r>
          <w:t>2</w:t>
        </w:r>
        <w:r>
          <w:fldChar w:fldCharType="end"/>
        </w:r>
      </w:p>
      <w:p w14:paraId="39CAF26A" w14:textId="77777777" w:rsidR="00B26D29" w:rsidRPr="00AE2241" w:rsidRDefault="00000000" w:rsidP="00AE2241">
        <w:pPr>
          <w:pStyle w:val="Footer"/>
          <w:jc w:val="right"/>
          <w:rPr>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10F4" w14:textId="77777777" w:rsidR="00B26D29" w:rsidRDefault="00EB2BC1">
    <w:pPr>
      <w:pStyle w:val="Footer"/>
    </w:pPr>
    <w:r w:rsidRPr="00EB2BC1">
      <w:rPr>
        <w:rFonts w:ascii="Helvetica" w:eastAsia="HGPMinchoE" w:hAnsi="Helvetica"/>
        <w:noProof/>
        <w:sz w:val="28"/>
        <w:szCs w:val="40"/>
      </w:rPr>
      <mc:AlternateContent>
        <mc:Choice Requires="wps">
          <w:drawing>
            <wp:anchor distT="45720" distB="45720" distL="114300" distR="114300" simplePos="0" relativeHeight="251658242" behindDoc="0" locked="0" layoutInCell="1" allowOverlap="1" wp14:anchorId="7A24C9DB" wp14:editId="7060DE7A">
              <wp:simplePos x="0" y="0"/>
              <wp:positionH relativeFrom="rightMargin">
                <wp:posOffset>88265</wp:posOffset>
              </wp:positionH>
              <wp:positionV relativeFrom="paragraph">
                <wp:posOffset>-287655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2D801825" w14:textId="77777777"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24C9DB" id="_x0000_t202" coordsize="21600,21600" o:spt="202" path="m,l,21600r21600,l21600,xe">
              <v:stroke joinstyle="miter"/>
              <v:path gradientshapeok="t" o:connecttype="rect"/>
            </v:shapetype>
            <v:shape id="Text Box 2" o:spid="_x0000_s1041" type="#_x0000_t202" style="position:absolute;margin-left:6.95pt;margin-top:-22.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" filled="f" stroked="f">
              <v:textbox>
                <w:txbxContent>
                  <w:p w14:paraId="2D801825" w14:textId="77777777"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8E687" w14:textId="77777777" w:rsidR="00E31B0D" w:rsidRDefault="00E31B0D" w:rsidP="00A62BFF">
      <w:pPr>
        <w:spacing w:after="0"/>
      </w:pPr>
      <w:r>
        <w:separator/>
      </w:r>
    </w:p>
  </w:footnote>
  <w:footnote w:type="continuationSeparator" w:id="0">
    <w:p w14:paraId="5CA76055" w14:textId="77777777" w:rsidR="00E31B0D" w:rsidRDefault="00E31B0D" w:rsidP="00A62BFF">
      <w:pPr>
        <w:spacing w:after="0"/>
      </w:pPr>
      <w:r>
        <w:continuationSeparator/>
      </w:r>
    </w:p>
  </w:footnote>
  <w:footnote w:type="continuationNotice" w:id="1">
    <w:p w14:paraId="31D9D8D1" w14:textId="77777777" w:rsidR="00E31B0D" w:rsidRDefault="00E31B0D">
      <w:pPr>
        <w:spacing w:after="0" w:line="240" w:lineRule="auto"/>
      </w:pPr>
    </w:p>
  </w:footnote>
  <w:footnote w:id="2">
    <w:p w14:paraId="3415D451" w14:textId="77777777" w:rsidR="00851805" w:rsidRPr="005325ED" w:rsidRDefault="00851805" w:rsidP="00851805">
      <w:pPr>
        <w:pStyle w:val="FootnoteText"/>
        <w:rPr>
          <w:sz w:val="16"/>
          <w:szCs w:val="16"/>
        </w:rPr>
      </w:pPr>
      <w:r w:rsidRPr="005325ED">
        <w:rPr>
          <w:rStyle w:val="FootnoteReference"/>
          <w:sz w:val="16"/>
          <w:szCs w:val="16"/>
        </w:rPr>
        <w:footnoteRef/>
      </w:r>
      <w:r w:rsidRPr="005325ED">
        <w:rPr>
          <w:sz w:val="16"/>
          <w:szCs w:val="16"/>
        </w:rPr>
        <w:t xml:space="preserve"> </w:t>
      </w:r>
      <w:r w:rsidRPr="005325ED">
        <w:rPr>
          <w:rFonts w:ascii="Poppins" w:hAnsi="Poppins" w:cs="Poppins"/>
          <w:sz w:val="14"/>
          <w:szCs w:val="14"/>
        </w:rPr>
        <w:t xml:space="preserve">See Table 1.10 Onshore Local Substation Tariffs (£/kW) at </w:t>
      </w:r>
      <w:hyperlink r:id="rId1" w:history="1">
        <w:r w:rsidRPr="005325ED">
          <w:rPr>
            <w:rStyle w:val="Hyperlink"/>
            <w:rFonts w:ascii="Poppins" w:hAnsi="Poppins" w:cs="Poppins"/>
            <w:sz w:val="14"/>
            <w:szCs w:val="14"/>
          </w:rPr>
          <w:t>https://www.neso.energy/document/362701/download</w:t>
        </w:r>
      </w:hyperlink>
      <w:r w:rsidRPr="005325ED">
        <w:rPr>
          <w:sz w:val="16"/>
          <w:szCs w:val="16"/>
        </w:rPr>
        <w:t xml:space="preserve"> </w:t>
      </w:r>
    </w:p>
  </w:footnote>
  <w:footnote w:id="3">
    <w:p w14:paraId="602D42F5" w14:textId="7115D17E" w:rsidR="00091BA7" w:rsidRPr="000D7CE9" w:rsidRDefault="00091BA7" w:rsidP="00091BA7">
      <w:pPr>
        <w:pStyle w:val="FootnoteText"/>
        <w:rPr>
          <w:rFonts w:ascii="Poppins" w:hAnsi="Poppins" w:cs="Poppins"/>
          <w:sz w:val="14"/>
          <w:szCs w:val="14"/>
        </w:rPr>
      </w:pPr>
      <w:r w:rsidRPr="000D7CE9">
        <w:rPr>
          <w:rStyle w:val="FootnoteReference"/>
          <w:rFonts w:ascii="Poppins" w:hAnsi="Poppins" w:cs="Poppins"/>
          <w:sz w:val="14"/>
          <w:szCs w:val="14"/>
        </w:rPr>
        <w:footnoteRef/>
      </w:r>
      <w:r w:rsidRPr="000D7CE9">
        <w:rPr>
          <w:rFonts w:ascii="Poppins" w:hAnsi="Poppins" w:cs="Poppins"/>
          <w:sz w:val="14"/>
          <w:szCs w:val="14"/>
        </w:rPr>
        <w:t xml:space="preserve"> CUSC mod CMP292, in force, requires relevant CUSC mods to be passed by 30 September ahead of their implementation year, and relates to any change to “any of the charging methodologies as defined in the CUSC”, and so includes in its scope </w:t>
      </w:r>
      <w:proofErr w:type="spellStart"/>
      <w:r w:rsidRPr="000D7CE9">
        <w:rPr>
          <w:rFonts w:ascii="Poppins" w:hAnsi="Poppins" w:cs="Poppins"/>
          <w:sz w:val="14"/>
          <w:szCs w:val="14"/>
        </w:rPr>
        <w:t>BSUoS</w:t>
      </w:r>
      <w:proofErr w:type="spellEnd"/>
      <w:r w:rsidRPr="000D7CE9">
        <w:rPr>
          <w:rFonts w:ascii="Poppins" w:hAnsi="Poppins" w:cs="Poppins"/>
          <w:sz w:val="14"/>
          <w:szCs w:val="14"/>
        </w:rPr>
        <w:t xml:space="preserve"> mods as well as TNUoS mods, and the connection charging methodology (CUSC 8.2).  CMP292 provides exceptions to the deadline for urgent modifications, modifications raised by or at the direction of the Authority, and where the Authority has directed otherwise (even if the mod was neither raised as urgent, nor raised by or at the direction of Ofgem. Footnote 1 of the decision document notes re: such exceptions, “…any such decision would be taken on the merits of individual proposals at the time”)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90216" w14:textId="77777777" w:rsidR="00AE2241" w:rsidRDefault="00EB2BC1" w:rsidP="00607F76">
    <w:pPr>
      <w:pStyle w:val="Header"/>
      <w:ind w:left="0"/>
      <w:jc w:val="left"/>
      <w:rPr>
        <w:rFonts w:eastAsia="HGPMinchoE" w:cs="Poppins"/>
        <w:color w:val="3F0730"/>
        <w:sz w:val="28"/>
        <w:szCs w:val="40"/>
      </w:rPr>
    </w:pPr>
    <w:r w:rsidRPr="004365EB">
      <w:rPr>
        <w:rFonts w:cs="Poppins"/>
        <w:b/>
        <w:bCs/>
      </w:rPr>
      <w:drawing>
        <wp:anchor distT="0" distB="0" distL="114300" distR="114300" simplePos="0" relativeHeight="251658241" behindDoc="1" locked="1" layoutInCell="1" allowOverlap="0" wp14:anchorId="52EC6984" wp14:editId="5298D434">
          <wp:simplePos x="0" y="0"/>
          <wp:positionH relativeFrom="page">
            <wp:align>center</wp:align>
          </wp:positionH>
          <wp:positionV relativeFrom="page">
            <wp:align>top</wp:align>
          </wp:positionV>
          <wp:extent cx="7559675" cy="10757535"/>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952" cy="10759932"/>
                  </a:xfrm>
                  <a:prstGeom prst="rect">
                    <a:avLst/>
                  </a:prstGeom>
                </pic:spPr>
              </pic:pic>
            </a:graphicData>
          </a:graphic>
          <wp14:sizeRelH relativeFrom="page">
            <wp14:pctWidth>0</wp14:pctWidth>
          </wp14:sizeRelH>
          <wp14:sizeRelV relativeFrom="page">
            <wp14:pctHeight>0</wp14:pctHeight>
          </wp14:sizeRelV>
        </wp:anchor>
      </w:drawing>
    </w:r>
  </w:p>
  <w:p w14:paraId="1611D498" w14:textId="77777777" w:rsidR="00AE2241" w:rsidRDefault="00AE2241" w:rsidP="00607F76">
    <w:pPr>
      <w:pStyle w:val="Header"/>
      <w:ind w:left="0"/>
      <w:jc w:val="left"/>
      <w:rPr>
        <w:rFonts w:eastAsia="HGPMinchoE" w:cs="Poppins"/>
        <w:color w:val="3F0730"/>
        <w:sz w:val="28"/>
        <w:szCs w:val="40"/>
      </w:rPr>
    </w:pPr>
  </w:p>
  <w:p w14:paraId="45159373" w14:textId="77777777" w:rsidR="00AE2241" w:rsidRDefault="00AE2241" w:rsidP="00607F76">
    <w:pPr>
      <w:pStyle w:val="Header"/>
      <w:ind w:left="0"/>
      <w:jc w:val="left"/>
      <w:rPr>
        <w:rFonts w:eastAsia="HGPMinchoE" w:cs="Poppins"/>
        <w:color w:val="3F0730"/>
        <w:sz w:val="28"/>
        <w:szCs w:val="40"/>
      </w:rPr>
    </w:pPr>
  </w:p>
  <w:p w14:paraId="67C68083" w14:textId="77777777" w:rsidR="00AE2241" w:rsidRDefault="00AE2241" w:rsidP="00607F76">
    <w:pPr>
      <w:pStyle w:val="Header"/>
      <w:ind w:left="0"/>
      <w:jc w:val="left"/>
      <w:rPr>
        <w:rFonts w:eastAsia="HGPMinchoE" w:cs="Poppins"/>
        <w:color w:val="3F0730"/>
        <w:sz w:val="28"/>
        <w:szCs w:val="40"/>
      </w:rPr>
    </w:pPr>
  </w:p>
  <w:p w14:paraId="453D0458" w14:textId="77777777" w:rsidR="00CA0621" w:rsidRDefault="00CA0621" w:rsidP="00FA59D0">
    <w:pPr>
      <w:pStyle w:val="Header"/>
      <w:ind w:left="0"/>
      <w:jc w:val="left"/>
      <w:rPr>
        <w:rFonts w:eastAsia="HGPMinchoE" w:cs="Poppins"/>
        <w:color w:val="3F0730"/>
        <w:sz w:val="28"/>
        <w:szCs w:val="40"/>
      </w:rPr>
    </w:pPr>
  </w:p>
  <w:p w14:paraId="50DC8D3E" w14:textId="77777777" w:rsidR="008313D5" w:rsidRPr="004365EB" w:rsidRDefault="00FA59D0" w:rsidP="00FA59D0">
    <w:pPr>
      <w:pStyle w:val="Header"/>
      <w:ind w:left="0"/>
      <w:jc w:val="left"/>
      <w:rPr>
        <w:rFonts w:eastAsia="HGPMinchoE" w:cs="Poppins"/>
        <w:color w:val="3F0730"/>
        <w:sz w:val="28"/>
        <w:szCs w:val="40"/>
      </w:rPr>
    </w:pPr>
    <w:r w:rsidRPr="00FA59D0">
      <w:rPr>
        <w:rFonts w:eastAsia="HGPMinchoE" w:cs="Poppins"/>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485D" w14:textId="77777777" w:rsidR="00DF17EF" w:rsidRPr="004365EB" w:rsidRDefault="006E510D" w:rsidP="00DF17EF">
    <w:pPr>
      <w:pStyle w:val="Header"/>
      <w:ind w:left="0"/>
      <w:jc w:val="left"/>
      <w:rPr>
        <w:rFonts w:eastAsia="HGPMinchoE" w:cs="Poppins"/>
        <w:sz w:val="28"/>
        <w:szCs w:val="40"/>
      </w:rPr>
    </w:pPr>
    <w:r w:rsidRPr="004365EB">
      <w:rPr>
        <w:rFonts w:eastAsia="HGPMinchoE" w:cs="Poppins"/>
        <w:sz w:val="28"/>
        <w:szCs w:val="40"/>
      </w:rPr>
      <w:drawing>
        <wp:anchor distT="0" distB="0" distL="114300" distR="114300" simplePos="0" relativeHeight="251658240" behindDoc="1" locked="0" layoutInCell="1" allowOverlap="1" wp14:anchorId="4C11B445" wp14:editId="5E3D8BB0">
          <wp:simplePos x="0" y="0"/>
          <wp:positionH relativeFrom="column">
            <wp:posOffset>-693986</wp:posOffset>
          </wp:positionH>
          <wp:positionV relativeFrom="paragraph">
            <wp:posOffset>-261620</wp:posOffset>
          </wp:positionV>
          <wp:extent cx="7559524" cy="10688760"/>
          <wp:effectExtent l="0" t="0" r="381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524" cy="10688760"/>
                  </a:xfrm>
                  <a:prstGeom prst="rect">
                    <a:avLst/>
                  </a:prstGeom>
                </pic:spPr>
              </pic:pic>
            </a:graphicData>
          </a:graphic>
          <wp14:sizeRelH relativeFrom="page">
            <wp14:pctWidth>0</wp14:pctWidth>
          </wp14:sizeRelH>
          <wp14:sizeRelV relativeFrom="page">
            <wp14:pctHeight>0</wp14:pctHeight>
          </wp14:sizeRelV>
        </wp:anchor>
      </w:drawing>
    </w:r>
  </w:p>
  <w:p w14:paraId="12D12148" w14:textId="77777777" w:rsidR="00DF17EF" w:rsidRPr="004365EB" w:rsidRDefault="00DF17EF" w:rsidP="00DF17EF">
    <w:pPr>
      <w:pStyle w:val="Header"/>
      <w:ind w:left="0"/>
      <w:jc w:val="left"/>
      <w:rPr>
        <w:rFonts w:eastAsia="HGPMinchoE" w:cs="Poppins"/>
        <w:sz w:val="28"/>
        <w:szCs w:val="40"/>
      </w:rPr>
    </w:pPr>
  </w:p>
  <w:p w14:paraId="7BF6869E" w14:textId="77777777" w:rsidR="00DF17EF" w:rsidRPr="004365EB" w:rsidRDefault="00DF17EF" w:rsidP="00DF17EF">
    <w:pPr>
      <w:pStyle w:val="Header"/>
      <w:ind w:left="0"/>
      <w:jc w:val="left"/>
      <w:rPr>
        <w:rFonts w:eastAsia="HGPMinchoE" w:cs="Poppins"/>
        <w:sz w:val="28"/>
        <w:szCs w:val="40"/>
      </w:rPr>
    </w:pPr>
  </w:p>
  <w:p w14:paraId="3B9755D5" w14:textId="77777777" w:rsidR="00B26D29" w:rsidRPr="004365EB" w:rsidRDefault="00607F76" w:rsidP="00607F76">
    <w:pPr>
      <w:pStyle w:val="Header"/>
      <w:ind w:left="0"/>
      <w:jc w:val="left"/>
      <w:rPr>
        <w:rFonts w:eastAsia="HGPMinchoE" w:cs="Poppins"/>
        <w:color w:val="3F0730"/>
        <w:sz w:val="28"/>
        <w:szCs w:val="40"/>
      </w:rPr>
    </w:pPr>
    <w:r w:rsidRPr="004365EB">
      <w:rPr>
        <w:rFonts w:eastAsia="HGPMinchoE" w:cs="Poppins"/>
        <w:color w:val="3F0730"/>
        <w:sz w:val="28"/>
        <w:szCs w:val="40"/>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2" w15:restartNumberingAfterBreak="0">
    <w:nsid w:val="088F0A80"/>
    <w:multiLevelType w:val="hybridMultilevel"/>
    <w:tmpl w:val="E58CADF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5980DEC"/>
    <w:multiLevelType w:val="hybridMultilevel"/>
    <w:tmpl w:val="00341F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3C09FD"/>
    <w:multiLevelType w:val="multilevel"/>
    <w:tmpl w:val="DE32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B4673B"/>
    <w:multiLevelType w:val="hybridMultilevel"/>
    <w:tmpl w:val="C1E4E8F8"/>
    <w:lvl w:ilvl="0" w:tplc="8D7AEB24">
      <w:start w:val="1"/>
      <w:numFmt w:val="lowerLetter"/>
      <w:lvlText w:val="%1)"/>
      <w:lvlJc w:val="left"/>
      <w:pPr>
        <w:ind w:left="720" w:hanging="360"/>
      </w:pPr>
      <w:rPr>
        <w:rFonts w:hint="default"/>
        <w:color w:val="7A3864" w:themeColor="accen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1C8D14AC"/>
    <w:multiLevelType w:val="multilevel"/>
    <w:tmpl w:val="57F0E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F62785"/>
    <w:multiLevelType w:val="hybridMultilevel"/>
    <w:tmpl w:val="A1167ABE"/>
    <w:lvl w:ilvl="0" w:tplc="4C141C14">
      <w:start w:val="1"/>
      <w:numFmt w:val="bullet"/>
      <w:lvlText w:val=""/>
      <w:lvlJc w:val="left"/>
      <w:pPr>
        <w:ind w:left="1440" w:hanging="360"/>
      </w:pPr>
      <w:rPr>
        <w:rFonts w:ascii="Symbol" w:hAnsi="Symbol"/>
      </w:rPr>
    </w:lvl>
    <w:lvl w:ilvl="1" w:tplc="7340C5A0">
      <w:start w:val="1"/>
      <w:numFmt w:val="bullet"/>
      <w:lvlText w:val=""/>
      <w:lvlJc w:val="left"/>
      <w:pPr>
        <w:ind w:left="1440" w:hanging="360"/>
      </w:pPr>
      <w:rPr>
        <w:rFonts w:ascii="Symbol" w:hAnsi="Symbol"/>
      </w:rPr>
    </w:lvl>
    <w:lvl w:ilvl="2" w:tplc="0A3055CC">
      <w:start w:val="1"/>
      <w:numFmt w:val="bullet"/>
      <w:lvlText w:val=""/>
      <w:lvlJc w:val="left"/>
      <w:pPr>
        <w:ind w:left="1440" w:hanging="360"/>
      </w:pPr>
      <w:rPr>
        <w:rFonts w:ascii="Symbol" w:hAnsi="Symbol"/>
      </w:rPr>
    </w:lvl>
    <w:lvl w:ilvl="3" w:tplc="E8A81442">
      <w:start w:val="1"/>
      <w:numFmt w:val="bullet"/>
      <w:lvlText w:val=""/>
      <w:lvlJc w:val="left"/>
      <w:pPr>
        <w:ind w:left="1440" w:hanging="360"/>
      </w:pPr>
      <w:rPr>
        <w:rFonts w:ascii="Symbol" w:hAnsi="Symbol"/>
      </w:rPr>
    </w:lvl>
    <w:lvl w:ilvl="4" w:tplc="6CA8D24A">
      <w:start w:val="1"/>
      <w:numFmt w:val="bullet"/>
      <w:lvlText w:val=""/>
      <w:lvlJc w:val="left"/>
      <w:pPr>
        <w:ind w:left="1440" w:hanging="360"/>
      </w:pPr>
      <w:rPr>
        <w:rFonts w:ascii="Symbol" w:hAnsi="Symbol"/>
      </w:rPr>
    </w:lvl>
    <w:lvl w:ilvl="5" w:tplc="F73C758E">
      <w:start w:val="1"/>
      <w:numFmt w:val="bullet"/>
      <w:lvlText w:val=""/>
      <w:lvlJc w:val="left"/>
      <w:pPr>
        <w:ind w:left="1440" w:hanging="360"/>
      </w:pPr>
      <w:rPr>
        <w:rFonts w:ascii="Symbol" w:hAnsi="Symbol"/>
      </w:rPr>
    </w:lvl>
    <w:lvl w:ilvl="6" w:tplc="2A869FB0">
      <w:start w:val="1"/>
      <w:numFmt w:val="bullet"/>
      <w:lvlText w:val=""/>
      <w:lvlJc w:val="left"/>
      <w:pPr>
        <w:ind w:left="1440" w:hanging="360"/>
      </w:pPr>
      <w:rPr>
        <w:rFonts w:ascii="Symbol" w:hAnsi="Symbol"/>
      </w:rPr>
    </w:lvl>
    <w:lvl w:ilvl="7" w:tplc="8932D8D6">
      <w:start w:val="1"/>
      <w:numFmt w:val="bullet"/>
      <w:lvlText w:val=""/>
      <w:lvlJc w:val="left"/>
      <w:pPr>
        <w:ind w:left="1440" w:hanging="360"/>
      </w:pPr>
      <w:rPr>
        <w:rFonts w:ascii="Symbol" w:hAnsi="Symbol"/>
      </w:rPr>
    </w:lvl>
    <w:lvl w:ilvl="8" w:tplc="1A3267D4">
      <w:start w:val="1"/>
      <w:numFmt w:val="bullet"/>
      <w:lvlText w:val=""/>
      <w:lvlJc w:val="left"/>
      <w:pPr>
        <w:ind w:left="1440" w:hanging="360"/>
      </w:pPr>
      <w:rPr>
        <w:rFonts w:ascii="Symbol" w:hAnsi="Symbol"/>
      </w:rPr>
    </w:lvl>
  </w:abstractNum>
  <w:abstractNum w:abstractNumId="19" w15:restartNumberingAfterBreak="0">
    <w:nsid w:val="21E208FF"/>
    <w:multiLevelType w:val="hybridMultilevel"/>
    <w:tmpl w:val="7E248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A840B1"/>
    <w:multiLevelType w:val="hybridMultilevel"/>
    <w:tmpl w:val="F84C3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EC4646"/>
    <w:multiLevelType w:val="multilevel"/>
    <w:tmpl w:val="5DA0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301F5F1D"/>
    <w:multiLevelType w:val="hybridMultilevel"/>
    <w:tmpl w:val="47481CA4"/>
    <w:lvl w:ilvl="0" w:tplc="ABB27764">
      <w:start w:val="4"/>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AE1373"/>
    <w:multiLevelType w:val="hybridMultilevel"/>
    <w:tmpl w:val="AF4C7030"/>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2D2115"/>
    <w:multiLevelType w:val="hybridMultilevel"/>
    <w:tmpl w:val="C39A8238"/>
    <w:lvl w:ilvl="0" w:tplc="062C30FA">
      <w:start w:val="1"/>
      <w:numFmt w:val="bullet"/>
      <w:lvlText w:val=""/>
      <w:lvlJc w:val="left"/>
      <w:pPr>
        <w:ind w:left="1440" w:hanging="360"/>
      </w:pPr>
      <w:rPr>
        <w:rFonts w:ascii="Symbol" w:hAnsi="Symbol"/>
      </w:rPr>
    </w:lvl>
    <w:lvl w:ilvl="1" w:tplc="539AD26E">
      <w:start w:val="1"/>
      <w:numFmt w:val="bullet"/>
      <w:lvlText w:val=""/>
      <w:lvlJc w:val="left"/>
      <w:pPr>
        <w:ind w:left="1440" w:hanging="360"/>
      </w:pPr>
      <w:rPr>
        <w:rFonts w:ascii="Symbol" w:hAnsi="Symbol"/>
      </w:rPr>
    </w:lvl>
    <w:lvl w:ilvl="2" w:tplc="5D8C5148">
      <w:start w:val="1"/>
      <w:numFmt w:val="bullet"/>
      <w:lvlText w:val=""/>
      <w:lvlJc w:val="left"/>
      <w:pPr>
        <w:ind w:left="1440" w:hanging="360"/>
      </w:pPr>
      <w:rPr>
        <w:rFonts w:ascii="Symbol" w:hAnsi="Symbol"/>
      </w:rPr>
    </w:lvl>
    <w:lvl w:ilvl="3" w:tplc="97C03378">
      <w:start w:val="1"/>
      <w:numFmt w:val="bullet"/>
      <w:lvlText w:val=""/>
      <w:lvlJc w:val="left"/>
      <w:pPr>
        <w:ind w:left="1440" w:hanging="360"/>
      </w:pPr>
      <w:rPr>
        <w:rFonts w:ascii="Symbol" w:hAnsi="Symbol"/>
      </w:rPr>
    </w:lvl>
    <w:lvl w:ilvl="4" w:tplc="DC6EE1E8">
      <w:start w:val="1"/>
      <w:numFmt w:val="bullet"/>
      <w:lvlText w:val=""/>
      <w:lvlJc w:val="left"/>
      <w:pPr>
        <w:ind w:left="1440" w:hanging="360"/>
      </w:pPr>
      <w:rPr>
        <w:rFonts w:ascii="Symbol" w:hAnsi="Symbol"/>
      </w:rPr>
    </w:lvl>
    <w:lvl w:ilvl="5" w:tplc="3E547B98">
      <w:start w:val="1"/>
      <w:numFmt w:val="bullet"/>
      <w:lvlText w:val=""/>
      <w:lvlJc w:val="left"/>
      <w:pPr>
        <w:ind w:left="1440" w:hanging="360"/>
      </w:pPr>
      <w:rPr>
        <w:rFonts w:ascii="Symbol" w:hAnsi="Symbol"/>
      </w:rPr>
    </w:lvl>
    <w:lvl w:ilvl="6" w:tplc="D85E262E">
      <w:start w:val="1"/>
      <w:numFmt w:val="bullet"/>
      <w:lvlText w:val=""/>
      <w:lvlJc w:val="left"/>
      <w:pPr>
        <w:ind w:left="1440" w:hanging="360"/>
      </w:pPr>
      <w:rPr>
        <w:rFonts w:ascii="Symbol" w:hAnsi="Symbol"/>
      </w:rPr>
    </w:lvl>
    <w:lvl w:ilvl="7" w:tplc="05725F14">
      <w:start w:val="1"/>
      <w:numFmt w:val="bullet"/>
      <w:lvlText w:val=""/>
      <w:lvlJc w:val="left"/>
      <w:pPr>
        <w:ind w:left="1440" w:hanging="360"/>
      </w:pPr>
      <w:rPr>
        <w:rFonts w:ascii="Symbol" w:hAnsi="Symbol"/>
      </w:rPr>
    </w:lvl>
    <w:lvl w:ilvl="8" w:tplc="0C30F342">
      <w:start w:val="1"/>
      <w:numFmt w:val="bullet"/>
      <w:lvlText w:val=""/>
      <w:lvlJc w:val="left"/>
      <w:pPr>
        <w:ind w:left="1440" w:hanging="360"/>
      </w:pPr>
      <w:rPr>
        <w:rFonts w:ascii="Symbol" w:hAnsi="Symbol"/>
      </w:rPr>
    </w:lvl>
  </w:abstractNum>
  <w:abstractNum w:abstractNumId="26" w15:restartNumberingAfterBreak="0">
    <w:nsid w:val="3B765BF9"/>
    <w:multiLevelType w:val="hybridMultilevel"/>
    <w:tmpl w:val="3232287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3683925"/>
    <w:multiLevelType w:val="hybridMultilevel"/>
    <w:tmpl w:val="FEFEE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63365E"/>
    <w:multiLevelType w:val="multilevel"/>
    <w:tmpl w:val="F1F8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777B72"/>
    <w:multiLevelType w:val="hybridMultilevel"/>
    <w:tmpl w:val="4CF493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7D68E3"/>
    <w:multiLevelType w:val="hybridMultilevel"/>
    <w:tmpl w:val="4016E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C62607"/>
    <w:multiLevelType w:val="hybridMultilevel"/>
    <w:tmpl w:val="BCBAA0DC"/>
    <w:lvl w:ilvl="0" w:tplc="FFFFFFFF">
      <w:start w:val="1"/>
      <w:numFmt w:val="lowerLetter"/>
      <w:lvlText w:val="%1)"/>
      <w:lvlJc w:val="left"/>
      <w:pPr>
        <w:ind w:left="720" w:hanging="360"/>
      </w:pPr>
      <w:rPr>
        <w:rFonts w:hint="default"/>
        <w:color w:val="7A3864" w:themeColor="accent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3" w15:restartNumberingAfterBreak="0">
    <w:nsid w:val="539B1FA3"/>
    <w:multiLevelType w:val="multilevel"/>
    <w:tmpl w:val="C60A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1B01A4"/>
    <w:multiLevelType w:val="hybridMultilevel"/>
    <w:tmpl w:val="233AB0FA"/>
    <w:lvl w:ilvl="0" w:tplc="0809000F">
      <w:start w:val="1"/>
      <w:numFmt w:val="decimal"/>
      <w:lvlText w:val="%1."/>
      <w:lvlJc w:val="left"/>
      <w:pPr>
        <w:ind w:left="1288"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57731754"/>
    <w:multiLevelType w:val="hybridMultilevel"/>
    <w:tmpl w:val="5670A0CC"/>
    <w:lvl w:ilvl="0" w:tplc="466858C8">
      <w:start w:val="1"/>
      <w:numFmt w:val="bullet"/>
      <w:lvlText w:val=""/>
      <w:lvlJc w:val="left"/>
      <w:pPr>
        <w:ind w:left="1440" w:hanging="360"/>
      </w:pPr>
      <w:rPr>
        <w:rFonts w:ascii="Symbol" w:hAnsi="Symbol"/>
      </w:rPr>
    </w:lvl>
    <w:lvl w:ilvl="1" w:tplc="7A8CAC7E">
      <w:start w:val="1"/>
      <w:numFmt w:val="bullet"/>
      <w:lvlText w:val=""/>
      <w:lvlJc w:val="left"/>
      <w:pPr>
        <w:ind w:left="1440" w:hanging="360"/>
      </w:pPr>
      <w:rPr>
        <w:rFonts w:ascii="Symbol" w:hAnsi="Symbol"/>
      </w:rPr>
    </w:lvl>
    <w:lvl w:ilvl="2" w:tplc="10D4E10A">
      <w:start w:val="1"/>
      <w:numFmt w:val="bullet"/>
      <w:lvlText w:val=""/>
      <w:lvlJc w:val="left"/>
      <w:pPr>
        <w:ind w:left="1440" w:hanging="360"/>
      </w:pPr>
      <w:rPr>
        <w:rFonts w:ascii="Symbol" w:hAnsi="Symbol"/>
      </w:rPr>
    </w:lvl>
    <w:lvl w:ilvl="3" w:tplc="E9AE5B30">
      <w:start w:val="1"/>
      <w:numFmt w:val="bullet"/>
      <w:lvlText w:val=""/>
      <w:lvlJc w:val="left"/>
      <w:pPr>
        <w:ind w:left="1440" w:hanging="360"/>
      </w:pPr>
      <w:rPr>
        <w:rFonts w:ascii="Symbol" w:hAnsi="Symbol"/>
      </w:rPr>
    </w:lvl>
    <w:lvl w:ilvl="4" w:tplc="A744753E">
      <w:start w:val="1"/>
      <w:numFmt w:val="bullet"/>
      <w:lvlText w:val=""/>
      <w:lvlJc w:val="left"/>
      <w:pPr>
        <w:ind w:left="1440" w:hanging="360"/>
      </w:pPr>
      <w:rPr>
        <w:rFonts w:ascii="Symbol" w:hAnsi="Symbol"/>
      </w:rPr>
    </w:lvl>
    <w:lvl w:ilvl="5" w:tplc="557CDCB4">
      <w:start w:val="1"/>
      <w:numFmt w:val="bullet"/>
      <w:lvlText w:val=""/>
      <w:lvlJc w:val="left"/>
      <w:pPr>
        <w:ind w:left="1440" w:hanging="360"/>
      </w:pPr>
      <w:rPr>
        <w:rFonts w:ascii="Symbol" w:hAnsi="Symbol"/>
      </w:rPr>
    </w:lvl>
    <w:lvl w:ilvl="6" w:tplc="768AF278">
      <w:start w:val="1"/>
      <w:numFmt w:val="bullet"/>
      <w:lvlText w:val=""/>
      <w:lvlJc w:val="left"/>
      <w:pPr>
        <w:ind w:left="1440" w:hanging="360"/>
      </w:pPr>
      <w:rPr>
        <w:rFonts w:ascii="Symbol" w:hAnsi="Symbol"/>
      </w:rPr>
    </w:lvl>
    <w:lvl w:ilvl="7" w:tplc="6A9A2F38">
      <w:start w:val="1"/>
      <w:numFmt w:val="bullet"/>
      <w:lvlText w:val=""/>
      <w:lvlJc w:val="left"/>
      <w:pPr>
        <w:ind w:left="1440" w:hanging="360"/>
      </w:pPr>
      <w:rPr>
        <w:rFonts w:ascii="Symbol" w:hAnsi="Symbol"/>
      </w:rPr>
    </w:lvl>
    <w:lvl w:ilvl="8" w:tplc="BD1C5C24">
      <w:start w:val="1"/>
      <w:numFmt w:val="bullet"/>
      <w:lvlText w:val=""/>
      <w:lvlJc w:val="left"/>
      <w:pPr>
        <w:ind w:left="1440" w:hanging="360"/>
      </w:pPr>
      <w:rPr>
        <w:rFonts w:ascii="Symbol" w:hAnsi="Symbol"/>
      </w:rPr>
    </w:lvl>
  </w:abstractNum>
  <w:abstractNum w:abstractNumId="36"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7"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D2D2B27"/>
    <w:multiLevelType w:val="multilevel"/>
    <w:tmpl w:val="6B78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40" w15:restartNumberingAfterBreak="0">
    <w:nsid w:val="7D3F3768"/>
    <w:multiLevelType w:val="hybridMultilevel"/>
    <w:tmpl w:val="82322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903E07"/>
    <w:multiLevelType w:val="hybridMultilevel"/>
    <w:tmpl w:val="8C680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000CAE"/>
    <w:multiLevelType w:val="hybridMultilevel"/>
    <w:tmpl w:val="5FF0E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F466B51"/>
    <w:multiLevelType w:val="multilevel"/>
    <w:tmpl w:val="8B62A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6"/>
  </w:num>
  <w:num w:numId="12" w16cid:durableId="351030145">
    <w:abstractNumId w:val="11"/>
  </w:num>
  <w:num w:numId="13" w16cid:durableId="1217353298">
    <w:abstractNumId w:val="16"/>
  </w:num>
  <w:num w:numId="14" w16cid:durableId="1042053295">
    <w:abstractNumId w:val="22"/>
  </w:num>
  <w:num w:numId="15" w16cid:durableId="401565751">
    <w:abstractNumId w:val="37"/>
  </w:num>
  <w:num w:numId="16" w16cid:durableId="1280262003">
    <w:abstractNumId w:val="32"/>
  </w:num>
  <w:num w:numId="17" w16cid:durableId="895353830">
    <w:abstractNumId w:val="39"/>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889268325">
    <w:abstractNumId w:val="24"/>
  </w:num>
  <w:num w:numId="19" w16cid:durableId="1781218940">
    <w:abstractNumId w:val="10"/>
  </w:num>
  <w:num w:numId="20" w16cid:durableId="1801457570">
    <w:abstractNumId w:val="30"/>
  </w:num>
  <w:num w:numId="21" w16cid:durableId="9036818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3757946">
    <w:abstractNumId w:val="28"/>
  </w:num>
  <w:num w:numId="23" w16cid:durableId="952518333">
    <w:abstractNumId w:val="12"/>
  </w:num>
  <w:num w:numId="24" w16cid:durableId="214774798">
    <w:abstractNumId w:val="26"/>
  </w:num>
  <w:num w:numId="25" w16cid:durableId="223563890">
    <w:abstractNumId w:val="42"/>
  </w:num>
  <w:num w:numId="26" w16cid:durableId="323707515">
    <w:abstractNumId w:val="29"/>
  </w:num>
  <w:num w:numId="27" w16cid:durableId="1519737906">
    <w:abstractNumId w:val="23"/>
  </w:num>
  <w:num w:numId="28" w16cid:durableId="606617851">
    <w:abstractNumId w:val="19"/>
  </w:num>
  <w:num w:numId="29" w16cid:durableId="78405294">
    <w:abstractNumId w:val="15"/>
  </w:num>
  <w:num w:numId="30" w16cid:durableId="1211695521">
    <w:abstractNumId w:val="20"/>
  </w:num>
  <w:num w:numId="31" w16cid:durableId="1447044201">
    <w:abstractNumId w:val="13"/>
  </w:num>
  <w:num w:numId="32" w16cid:durableId="338896433">
    <w:abstractNumId w:val="35"/>
  </w:num>
  <w:num w:numId="33" w16cid:durableId="2053384469">
    <w:abstractNumId w:val="25"/>
  </w:num>
  <w:num w:numId="34" w16cid:durableId="1179929941">
    <w:abstractNumId w:val="18"/>
  </w:num>
  <w:num w:numId="35" w16cid:durableId="1847986335">
    <w:abstractNumId w:val="40"/>
  </w:num>
  <w:num w:numId="36" w16cid:durableId="2100981089">
    <w:abstractNumId w:val="41"/>
  </w:num>
  <w:num w:numId="37" w16cid:durableId="1223250219">
    <w:abstractNumId w:val="17"/>
  </w:num>
  <w:num w:numId="38" w16cid:durableId="26175880">
    <w:abstractNumId w:val="27"/>
  </w:num>
  <w:num w:numId="39" w16cid:durableId="929388782">
    <w:abstractNumId w:val="21"/>
  </w:num>
  <w:num w:numId="40" w16cid:durableId="696583881">
    <w:abstractNumId w:val="38"/>
  </w:num>
  <w:num w:numId="41" w16cid:durableId="733430361">
    <w:abstractNumId w:val="43"/>
  </w:num>
  <w:num w:numId="42" w16cid:durableId="865680132">
    <w:abstractNumId w:val="14"/>
  </w:num>
  <w:num w:numId="43" w16cid:durableId="655186494">
    <w:abstractNumId w:val="33"/>
  </w:num>
  <w:num w:numId="44" w16cid:durableId="571306795">
    <w:abstractNumId w:val="3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Larreta">
    <w15:presenceInfo w15:providerId="AD" w15:userId="S::Matthew.Larreta1@neso.energy::52cacef6-1dc2-4576-a9f3-ab5c7405d45b"/>
  </w15:person>
  <w15:person w15:author="Guidance">
    <w15:presenceInfo w15:providerId="None" w15:userId="Guidan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0F"/>
    <w:rsid w:val="0000092C"/>
    <w:rsid w:val="00000F98"/>
    <w:rsid w:val="000017C7"/>
    <w:rsid w:val="00005D1E"/>
    <w:rsid w:val="00006AE7"/>
    <w:rsid w:val="00007028"/>
    <w:rsid w:val="0000728A"/>
    <w:rsid w:val="00011992"/>
    <w:rsid w:val="00013752"/>
    <w:rsid w:val="00015A2A"/>
    <w:rsid w:val="00015BE0"/>
    <w:rsid w:val="0002010A"/>
    <w:rsid w:val="00021319"/>
    <w:rsid w:val="000213BA"/>
    <w:rsid w:val="000218CE"/>
    <w:rsid w:val="00022819"/>
    <w:rsid w:val="00022B39"/>
    <w:rsid w:val="0002463D"/>
    <w:rsid w:val="000246B0"/>
    <w:rsid w:val="00027845"/>
    <w:rsid w:val="00030017"/>
    <w:rsid w:val="00030548"/>
    <w:rsid w:val="00031305"/>
    <w:rsid w:val="000337B9"/>
    <w:rsid w:val="0003395B"/>
    <w:rsid w:val="00034DE8"/>
    <w:rsid w:val="00036E0D"/>
    <w:rsid w:val="00036ECA"/>
    <w:rsid w:val="000378EB"/>
    <w:rsid w:val="00037D0E"/>
    <w:rsid w:val="000412C6"/>
    <w:rsid w:val="00041BFC"/>
    <w:rsid w:val="000421C8"/>
    <w:rsid w:val="0004277D"/>
    <w:rsid w:val="00043FB0"/>
    <w:rsid w:val="00044829"/>
    <w:rsid w:val="00044DA4"/>
    <w:rsid w:val="00045569"/>
    <w:rsid w:val="0004599D"/>
    <w:rsid w:val="000467F0"/>
    <w:rsid w:val="000501BC"/>
    <w:rsid w:val="00050C96"/>
    <w:rsid w:val="00053545"/>
    <w:rsid w:val="00053781"/>
    <w:rsid w:val="00053E14"/>
    <w:rsid w:val="00055072"/>
    <w:rsid w:val="000556E6"/>
    <w:rsid w:val="00060201"/>
    <w:rsid w:val="00061FBD"/>
    <w:rsid w:val="00062681"/>
    <w:rsid w:val="00062B8A"/>
    <w:rsid w:val="00062E14"/>
    <w:rsid w:val="000638EF"/>
    <w:rsid w:val="00063CFD"/>
    <w:rsid w:val="00063D7B"/>
    <w:rsid w:val="0006536F"/>
    <w:rsid w:val="00066ABB"/>
    <w:rsid w:val="00067FC7"/>
    <w:rsid w:val="00070BFC"/>
    <w:rsid w:val="000714E6"/>
    <w:rsid w:val="00071FE5"/>
    <w:rsid w:val="00072FFA"/>
    <w:rsid w:val="00073245"/>
    <w:rsid w:val="00073849"/>
    <w:rsid w:val="00073AA7"/>
    <w:rsid w:val="00073F44"/>
    <w:rsid w:val="000744B5"/>
    <w:rsid w:val="00076586"/>
    <w:rsid w:val="000772BB"/>
    <w:rsid w:val="00077F45"/>
    <w:rsid w:val="00081106"/>
    <w:rsid w:val="000816B3"/>
    <w:rsid w:val="00081EB0"/>
    <w:rsid w:val="00081F84"/>
    <w:rsid w:val="00081FD6"/>
    <w:rsid w:val="000821BE"/>
    <w:rsid w:val="00083974"/>
    <w:rsid w:val="00083E12"/>
    <w:rsid w:val="0008434E"/>
    <w:rsid w:val="00084681"/>
    <w:rsid w:val="000847DC"/>
    <w:rsid w:val="00084C5F"/>
    <w:rsid w:val="00087020"/>
    <w:rsid w:val="00091BA7"/>
    <w:rsid w:val="0009211E"/>
    <w:rsid w:val="0009276B"/>
    <w:rsid w:val="00092C02"/>
    <w:rsid w:val="00092D2F"/>
    <w:rsid w:val="00093369"/>
    <w:rsid w:val="000946F1"/>
    <w:rsid w:val="00094E5F"/>
    <w:rsid w:val="00094F88"/>
    <w:rsid w:val="0009609C"/>
    <w:rsid w:val="000966D4"/>
    <w:rsid w:val="00097FED"/>
    <w:rsid w:val="000A16F0"/>
    <w:rsid w:val="000A1C65"/>
    <w:rsid w:val="000A1EEE"/>
    <w:rsid w:val="000A2C20"/>
    <w:rsid w:val="000A32B3"/>
    <w:rsid w:val="000A4598"/>
    <w:rsid w:val="000A59FD"/>
    <w:rsid w:val="000A6AFF"/>
    <w:rsid w:val="000A730E"/>
    <w:rsid w:val="000B0F9C"/>
    <w:rsid w:val="000B155C"/>
    <w:rsid w:val="000B19B2"/>
    <w:rsid w:val="000B1B73"/>
    <w:rsid w:val="000B296B"/>
    <w:rsid w:val="000B304C"/>
    <w:rsid w:val="000B35D3"/>
    <w:rsid w:val="000B3F97"/>
    <w:rsid w:val="000B475E"/>
    <w:rsid w:val="000B5338"/>
    <w:rsid w:val="000B6371"/>
    <w:rsid w:val="000B6756"/>
    <w:rsid w:val="000B6A4C"/>
    <w:rsid w:val="000B7E99"/>
    <w:rsid w:val="000C0D0A"/>
    <w:rsid w:val="000C35E2"/>
    <w:rsid w:val="000C4998"/>
    <w:rsid w:val="000C5017"/>
    <w:rsid w:val="000C53DB"/>
    <w:rsid w:val="000C60C2"/>
    <w:rsid w:val="000C64F6"/>
    <w:rsid w:val="000C66C7"/>
    <w:rsid w:val="000D0633"/>
    <w:rsid w:val="000D16EC"/>
    <w:rsid w:val="000D2220"/>
    <w:rsid w:val="000D3A7B"/>
    <w:rsid w:val="000D3E58"/>
    <w:rsid w:val="000D4C01"/>
    <w:rsid w:val="000D5085"/>
    <w:rsid w:val="000D559C"/>
    <w:rsid w:val="000D65A7"/>
    <w:rsid w:val="000D6E3A"/>
    <w:rsid w:val="000D7CE9"/>
    <w:rsid w:val="000E068A"/>
    <w:rsid w:val="000E1ECB"/>
    <w:rsid w:val="000E3824"/>
    <w:rsid w:val="000E43B5"/>
    <w:rsid w:val="000E496F"/>
    <w:rsid w:val="000E5122"/>
    <w:rsid w:val="000E6380"/>
    <w:rsid w:val="000E6C6B"/>
    <w:rsid w:val="000F033D"/>
    <w:rsid w:val="000F0452"/>
    <w:rsid w:val="000F120C"/>
    <w:rsid w:val="000F224C"/>
    <w:rsid w:val="000F3E38"/>
    <w:rsid w:val="000F483F"/>
    <w:rsid w:val="000F5DF1"/>
    <w:rsid w:val="000F65D6"/>
    <w:rsid w:val="000F67B8"/>
    <w:rsid w:val="0010061D"/>
    <w:rsid w:val="00101716"/>
    <w:rsid w:val="0010311E"/>
    <w:rsid w:val="00103DA4"/>
    <w:rsid w:val="001060D4"/>
    <w:rsid w:val="00106B84"/>
    <w:rsid w:val="00106B97"/>
    <w:rsid w:val="00107C4C"/>
    <w:rsid w:val="00110513"/>
    <w:rsid w:val="00110F32"/>
    <w:rsid w:val="00112C46"/>
    <w:rsid w:val="001137FB"/>
    <w:rsid w:val="0011389F"/>
    <w:rsid w:val="00113BF5"/>
    <w:rsid w:val="00113CB3"/>
    <w:rsid w:val="00113F39"/>
    <w:rsid w:val="0011423A"/>
    <w:rsid w:val="001145E7"/>
    <w:rsid w:val="00114AA3"/>
    <w:rsid w:val="00114BDB"/>
    <w:rsid w:val="001155B3"/>
    <w:rsid w:val="00116009"/>
    <w:rsid w:val="001173F1"/>
    <w:rsid w:val="00117DA6"/>
    <w:rsid w:val="00120547"/>
    <w:rsid w:val="001212E2"/>
    <w:rsid w:val="00122324"/>
    <w:rsid w:val="00124925"/>
    <w:rsid w:val="001258BB"/>
    <w:rsid w:val="00127213"/>
    <w:rsid w:val="00127759"/>
    <w:rsid w:val="00130F65"/>
    <w:rsid w:val="001321F6"/>
    <w:rsid w:val="00132C86"/>
    <w:rsid w:val="001340C9"/>
    <w:rsid w:val="001349E7"/>
    <w:rsid w:val="001349FB"/>
    <w:rsid w:val="00134AC2"/>
    <w:rsid w:val="00134AF9"/>
    <w:rsid w:val="00134F82"/>
    <w:rsid w:val="0013659A"/>
    <w:rsid w:val="00136B6F"/>
    <w:rsid w:val="00137D1B"/>
    <w:rsid w:val="0014185A"/>
    <w:rsid w:val="001426CA"/>
    <w:rsid w:val="0014293F"/>
    <w:rsid w:val="00143413"/>
    <w:rsid w:val="001446CA"/>
    <w:rsid w:val="00144C22"/>
    <w:rsid w:val="00144D31"/>
    <w:rsid w:val="00146DE3"/>
    <w:rsid w:val="00146EC7"/>
    <w:rsid w:val="00147154"/>
    <w:rsid w:val="00147BF4"/>
    <w:rsid w:val="001510CA"/>
    <w:rsid w:val="001516B9"/>
    <w:rsid w:val="00151D8A"/>
    <w:rsid w:val="00152018"/>
    <w:rsid w:val="00152912"/>
    <w:rsid w:val="00152D34"/>
    <w:rsid w:val="00153066"/>
    <w:rsid w:val="001535B0"/>
    <w:rsid w:val="001536C3"/>
    <w:rsid w:val="00154646"/>
    <w:rsid w:val="00154713"/>
    <w:rsid w:val="00154C3B"/>
    <w:rsid w:val="001555B1"/>
    <w:rsid w:val="00155E29"/>
    <w:rsid w:val="0015634C"/>
    <w:rsid w:val="00160722"/>
    <w:rsid w:val="001613C2"/>
    <w:rsid w:val="00162ADF"/>
    <w:rsid w:val="0016337B"/>
    <w:rsid w:val="00164401"/>
    <w:rsid w:val="0016480C"/>
    <w:rsid w:val="001656FE"/>
    <w:rsid w:val="001657F3"/>
    <w:rsid w:val="0016594A"/>
    <w:rsid w:val="001668BE"/>
    <w:rsid w:val="00166A57"/>
    <w:rsid w:val="0016758D"/>
    <w:rsid w:val="0017061D"/>
    <w:rsid w:val="00170B39"/>
    <w:rsid w:val="001711B9"/>
    <w:rsid w:val="0017122F"/>
    <w:rsid w:val="00171BEB"/>
    <w:rsid w:val="001722A3"/>
    <w:rsid w:val="00172340"/>
    <w:rsid w:val="00173215"/>
    <w:rsid w:val="0017346A"/>
    <w:rsid w:val="00173BAF"/>
    <w:rsid w:val="00173FC9"/>
    <w:rsid w:val="00174406"/>
    <w:rsid w:val="0017581D"/>
    <w:rsid w:val="0017681A"/>
    <w:rsid w:val="00176FB8"/>
    <w:rsid w:val="00177CCF"/>
    <w:rsid w:val="00177D2F"/>
    <w:rsid w:val="00181B49"/>
    <w:rsid w:val="00182168"/>
    <w:rsid w:val="00182640"/>
    <w:rsid w:val="001827D4"/>
    <w:rsid w:val="00186A6D"/>
    <w:rsid w:val="00186DF4"/>
    <w:rsid w:val="00186FE8"/>
    <w:rsid w:val="00190D0C"/>
    <w:rsid w:val="001917FE"/>
    <w:rsid w:val="001919BC"/>
    <w:rsid w:val="00191C99"/>
    <w:rsid w:val="001920B4"/>
    <w:rsid w:val="001935DE"/>
    <w:rsid w:val="001938FD"/>
    <w:rsid w:val="00193E2E"/>
    <w:rsid w:val="00193F3F"/>
    <w:rsid w:val="00194F60"/>
    <w:rsid w:val="0019567E"/>
    <w:rsid w:val="00195C2B"/>
    <w:rsid w:val="001961D9"/>
    <w:rsid w:val="00196281"/>
    <w:rsid w:val="0019677B"/>
    <w:rsid w:val="001A130F"/>
    <w:rsid w:val="001A170B"/>
    <w:rsid w:val="001A24B0"/>
    <w:rsid w:val="001A2F22"/>
    <w:rsid w:val="001A3BE2"/>
    <w:rsid w:val="001A466F"/>
    <w:rsid w:val="001A4EB3"/>
    <w:rsid w:val="001A574A"/>
    <w:rsid w:val="001A5D22"/>
    <w:rsid w:val="001B1AF7"/>
    <w:rsid w:val="001B33CC"/>
    <w:rsid w:val="001B3799"/>
    <w:rsid w:val="001B503E"/>
    <w:rsid w:val="001B60BF"/>
    <w:rsid w:val="001B799C"/>
    <w:rsid w:val="001B7A30"/>
    <w:rsid w:val="001B7D49"/>
    <w:rsid w:val="001C0639"/>
    <w:rsid w:val="001C067C"/>
    <w:rsid w:val="001C1745"/>
    <w:rsid w:val="001C185D"/>
    <w:rsid w:val="001C1930"/>
    <w:rsid w:val="001C1E8D"/>
    <w:rsid w:val="001C30D3"/>
    <w:rsid w:val="001C4ABF"/>
    <w:rsid w:val="001C4DB5"/>
    <w:rsid w:val="001C5B91"/>
    <w:rsid w:val="001C6567"/>
    <w:rsid w:val="001C67DA"/>
    <w:rsid w:val="001C7AA0"/>
    <w:rsid w:val="001D00F7"/>
    <w:rsid w:val="001D14F7"/>
    <w:rsid w:val="001D1B6F"/>
    <w:rsid w:val="001D26B9"/>
    <w:rsid w:val="001D2FA5"/>
    <w:rsid w:val="001D3612"/>
    <w:rsid w:val="001D4366"/>
    <w:rsid w:val="001D6188"/>
    <w:rsid w:val="001D682C"/>
    <w:rsid w:val="001E14AC"/>
    <w:rsid w:val="001E2110"/>
    <w:rsid w:val="001E2E4F"/>
    <w:rsid w:val="001E372F"/>
    <w:rsid w:val="001E4924"/>
    <w:rsid w:val="001E54FC"/>
    <w:rsid w:val="001E6636"/>
    <w:rsid w:val="001E68CF"/>
    <w:rsid w:val="001E6B69"/>
    <w:rsid w:val="001E74F3"/>
    <w:rsid w:val="001E7752"/>
    <w:rsid w:val="001F04C9"/>
    <w:rsid w:val="001F0AA2"/>
    <w:rsid w:val="001F101E"/>
    <w:rsid w:val="001F1454"/>
    <w:rsid w:val="001F1748"/>
    <w:rsid w:val="001F2EF2"/>
    <w:rsid w:val="001F319A"/>
    <w:rsid w:val="001F33B1"/>
    <w:rsid w:val="001F4597"/>
    <w:rsid w:val="001F56BC"/>
    <w:rsid w:val="001F59CD"/>
    <w:rsid w:val="001F6599"/>
    <w:rsid w:val="001F77DC"/>
    <w:rsid w:val="002005E2"/>
    <w:rsid w:val="00200E17"/>
    <w:rsid w:val="0020128F"/>
    <w:rsid w:val="0020555B"/>
    <w:rsid w:val="002071F6"/>
    <w:rsid w:val="002071FF"/>
    <w:rsid w:val="00207EBF"/>
    <w:rsid w:val="00207FF1"/>
    <w:rsid w:val="002111CA"/>
    <w:rsid w:val="002121DE"/>
    <w:rsid w:val="002122D2"/>
    <w:rsid w:val="0021404C"/>
    <w:rsid w:val="00214C78"/>
    <w:rsid w:val="0021513D"/>
    <w:rsid w:val="00215172"/>
    <w:rsid w:val="002152FA"/>
    <w:rsid w:val="00215B3E"/>
    <w:rsid w:val="00216034"/>
    <w:rsid w:val="00216A65"/>
    <w:rsid w:val="00217E5E"/>
    <w:rsid w:val="00220292"/>
    <w:rsid w:val="00221B5A"/>
    <w:rsid w:val="0022267B"/>
    <w:rsid w:val="002233C3"/>
    <w:rsid w:val="00223A62"/>
    <w:rsid w:val="002249DB"/>
    <w:rsid w:val="00224DCF"/>
    <w:rsid w:val="00225056"/>
    <w:rsid w:val="002261A6"/>
    <w:rsid w:val="00226DDB"/>
    <w:rsid w:val="00226EAA"/>
    <w:rsid w:val="00227DEE"/>
    <w:rsid w:val="002327FC"/>
    <w:rsid w:val="00233320"/>
    <w:rsid w:val="00233403"/>
    <w:rsid w:val="00233A0A"/>
    <w:rsid w:val="00233A33"/>
    <w:rsid w:val="00234BC9"/>
    <w:rsid w:val="0023612C"/>
    <w:rsid w:val="00236931"/>
    <w:rsid w:val="0024092B"/>
    <w:rsid w:val="0024129E"/>
    <w:rsid w:val="00241AA1"/>
    <w:rsid w:val="00241B4F"/>
    <w:rsid w:val="00244813"/>
    <w:rsid w:val="002454A4"/>
    <w:rsid w:val="00246FF1"/>
    <w:rsid w:val="0024734E"/>
    <w:rsid w:val="00247BD0"/>
    <w:rsid w:val="002507E3"/>
    <w:rsid w:val="00251245"/>
    <w:rsid w:val="00251AC7"/>
    <w:rsid w:val="0025377E"/>
    <w:rsid w:val="00253FF0"/>
    <w:rsid w:val="00254702"/>
    <w:rsid w:val="00254ACB"/>
    <w:rsid w:val="00254EB1"/>
    <w:rsid w:val="0025501B"/>
    <w:rsid w:val="0025509C"/>
    <w:rsid w:val="00255254"/>
    <w:rsid w:val="00261382"/>
    <w:rsid w:val="00261FDF"/>
    <w:rsid w:val="00264F78"/>
    <w:rsid w:val="00265B9C"/>
    <w:rsid w:val="00270DDA"/>
    <w:rsid w:val="00271135"/>
    <w:rsid w:val="002713F2"/>
    <w:rsid w:val="00272013"/>
    <w:rsid w:val="00273931"/>
    <w:rsid w:val="00274A47"/>
    <w:rsid w:val="00274D2A"/>
    <w:rsid w:val="00274FB1"/>
    <w:rsid w:val="0027568B"/>
    <w:rsid w:val="00275D22"/>
    <w:rsid w:val="00275E09"/>
    <w:rsid w:val="00276BA1"/>
    <w:rsid w:val="00277702"/>
    <w:rsid w:val="002778F6"/>
    <w:rsid w:val="00277B32"/>
    <w:rsid w:val="00280106"/>
    <w:rsid w:val="00280129"/>
    <w:rsid w:val="00280F2D"/>
    <w:rsid w:val="00281809"/>
    <w:rsid w:val="00281AB6"/>
    <w:rsid w:val="00281CDF"/>
    <w:rsid w:val="002827FE"/>
    <w:rsid w:val="00282A6B"/>
    <w:rsid w:val="00283696"/>
    <w:rsid w:val="00285D15"/>
    <w:rsid w:val="00286477"/>
    <w:rsid w:val="00286B60"/>
    <w:rsid w:val="002872AD"/>
    <w:rsid w:val="002874BE"/>
    <w:rsid w:val="002876A7"/>
    <w:rsid w:val="00290262"/>
    <w:rsid w:val="00290786"/>
    <w:rsid w:val="00291B33"/>
    <w:rsid w:val="00291E2C"/>
    <w:rsid w:val="0029243E"/>
    <w:rsid w:val="0029281D"/>
    <w:rsid w:val="0029334F"/>
    <w:rsid w:val="0029381E"/>
    <w:rsid w:val="00293E01"/>
    <w:rsid w:val="0029478F"/>
    <w:rsid w:val="0029517E"/>
    <w:rsid w:val="00295542"/>
    <w:rsid w:val="002968DD"/>
    <w:rsid w:val="00297C15"/>
    <w:rsid w:val="002A21AE"/>
    <w:rsid w:val="002A42A5"/>
    <w:rsid w:val="002A4482"/>
    <w:rsid w:val="002A47B7"/>
    <w:rsid w:val="002A53AC"/>
    <w:rsid w:val="002A7C66"/>
    <w:rsid w:val="002B0E2D"/>
    <w:rsid w:val="002B1962"/>
    <w:rsid w:val="002B1FC9"/>
    <w:rsid w:val="002B1FE7"/>
    <w:rsid w:val="002B228B"/>
    <w:rsid w:val="002B25D2"/>
    <w:rsid w:val="002B3A58"/>
    <w:rsid w:val="002B43DB"/>
    <w:rsid w:val="002B56D4"/>
    <w:rsid w:val="002B6AD9"/>
    <w:rsid w:val="002B7394"/>
    <w:rsid w:val="002C00D5"/>
    <w:rsid w:val="002C112B"/>
    <w:rsid w:val="002C1211"/>
    <w:rsid w:val="002C1224"/>
    <w:rsid w:val="002C1261"/>
    <w:rsid w:val="002C1565"/>
    <w:rsid w:val="002C2938"/>
    <w:rsid w:val="002C3960"/>
    <w:rsid w:val="002C3C01"/>
    <w:rsid w:val="002C4AC0"/>
    <w:rsid w:val="002C4BAB"/>
    <w:rsid w:val="002C67B0"/>
    <w:rsid w:val="002C7A80"/>
    <w:rsid w:val="002D02A7"/>
    <w:rsid w:val="002D02FA"/>
    <w:rsid w:val="002D1EF9"/>
    <w:rsid w:val="002D2BF2"/>
    <w:rsid w:val="002D313A"/>
    <w:rsid w:val="002D31FA"/>
    <w:rsid w:val="002D3490"/>
    <w:rsid w:val="002D3503"/>
    <w:rsid w:val="002D3548"/>
    <w:rsid w:val="002D3679"/>
    <w:rsid w:val="002D4ABE"/>
    <w:rsid w:val="002D4CD5"/>
    <w:rsid w:val="002D5145"/>
    <w:rsid w:val="002D5A85"/>
    <w:rsid w:val="002D6406"/>
    <w:rsid w:val="002D6BAE"/>
    <w:rsid w:val="002D728B"/>
    <w:rsid w:val="002E0E15"/>
    <w:rsid w:val="002E2BF9"/>
    <w:rsid w:val="002F004B"/>
    <w:rsid w:val="002F3145"/>
    <w:rsid w:val="002F329C"/>
    <w:rsid w:val="002F33F3"/>
    <w:rsid w:val="002F3900"/>
    <w:rsid w:val="002F3F4B"/>
    <w:rsid w:val="002F4002"/>
    <w:rsid w:val="002F46B4"/>
    <w:rsid w:val="002F592C"/>
    <w:rsid w:val="002F6F4F"/>
    <w:rsid w:val="002F7DB8"/>
    <w:rsid w:val="003003BD"/>
    <w:rsid w:val="00300CC5"/>
    <w:rsid w:val="0030117E"/>
    <w:rsid w:val="0030153C"/>
    <w:rsid w:val="00301C3D"/>
    <w:rsid w:val="00301EF5"/>
    <w:rsid w:val="0030205D"/>
    <w:rsid w:val="00302539"/>
    <w:rsid w:val="00303237"/>
    <w:rsid w:val="003032C6"/>
    <w:rsid w:val="00303366"/>
    <w:rsid w:val="00303615"/>
    <w:rsid w:val="00305777"/>
    <w:rsid w:val="003067B1"/>
    <w:rsid w:val="00306812"/>
    <w:rsid w:val="003102FE"/>
    <w:rsid w:val="00310AB7"/>
    <w:rsid w:val="00312502"/>
    <w:rsid w:val="00313E6E"/>
    <w:rsid w:val="00314D99"/>
    <w:rsid w:val="00314E7F"/>
    <w:rsid w:val="0031623C"/>
    <w:rsid w:val="0031633F"/>
    <w:rsid w:val="003179A9"/>
    <w:rsid w:val="00323E4E"/>
    <w:rsid w:val="00323F41"/>
    <w:rsid w:val="00324F96"/>
    <w:rsid w:val="00325261"/>
    <w:rsid w:val="00325B13"/>
    <w:rsid w:val="0032644E"/>
    <w:rsid w:val="0032666D"/>
    <w:rsid w:val="0033065A"/>
    <w:rsid w:val="00331CB7"/>
    <w:rsid w:val="00331EC9"/>
    <w:rsid w:val="0033243A"/>
    <w:rsid w:val="00332474"/>
    <w:rsid w:val="00332A06"/>
    <w:rsid w:val="0033397E"/>
    <w:rsid w:val="00333BB8"/>
    <w:rsid w:val="00333D82"/>
    <w:rsid w:val="00336494"/>
    <w:rsid w:val="0033690A"/>
    <w:rsid w:val="00337021"/>
    <w:rsid w:val="00341CF5"/>
    <w:rsid w:val="00341DBA"/>
    <w:rsid w:val="003426AA"/>
    <w:rsid w:val="00342D7A"/>
    <w:rsid w:val="00342D8D"/>
    <w:rsid w:val="00342DF2"/>
    <w:rsid w:val="00343266"/>
    <w:rsid w:val="00343995"/>
    <w:rsid w:val="0034494E"/>
    <w:rsid w:val="003459AD"/>
    <w:rsid w:val="00345B11"/>
    <w:rsid w:val="003463ED"/>
    <w:rsid w:val="00347736"/>
    <w:rsid w:val="003479D4"/>
    <w:rsid w:val="0035087A"/>
    <w:rsid w:val="003512C5"/>
    <w:rsid w:val="003515E5"/>
    <w:rsid w:val="003524B1"/>
    <w:rsid w:val="0035258D"/>
    <w:rsid w:val="003526B2"/>
    <w:rsid w:val="003528CD"/>
    <w:rsid w:val="00352C9E"/>
    <w:rsid w:val="003550C3"/>
    <w:rsid w:val="0035561E"/>
    <w:rsid w:val="00356C23"/>
    <w:rsid w:val="00357149"/>
    <w:rsid w:val="00360490"/>
    <w:rsid w:val="0036093F"/>
    <w:rsid w:val="00360F68"/>
    <w:rsid w:val="003616B4"/>
    <w:rsid w:val="00362ADD"/>
    <w:rsid w:val="003644FB"/>
    <w:rsid w:val="0036495F"/>
    <w:rsid w:val="00364970"/>
    <w:rsid w:val="00365E0F"/>
    <w:rsid w:val="003670B7"/>
    <w:rsid w:val="00370AF0"/>
    <w:rsid w:val="003727C1"/>
    <w:rsid w:val="003738E5"/>
    <w:rsid w:val="00375931"/>
    <w:rsid w:val="00375C2E"/>
    <w:rsid w:val="00376923"/>
    <w:rsid w:val="00376C61"/>
    <w:rsid w:val="0037724A"/>
    <w:rsid w:val="00377291"/>
    <w:rsid w:val="00377898"/>
    <w:rsid w:val="00377A6F"/>
    <w:rsid w:val="00380228"/>
    <w:rsid w:val="00380E6B"/>
    <w:rsid w:val="00381530"/>
    <w:rsid w:val="00382894"/>
    <w:rsid w:val="0038336D"/>
    <w:rsid w:val="00383D0D"/>
    <w:rsid w:val="003853CD"/>
    <w:rsid w:val="003869F6"/>
    <w:rsid w:val="003902FC"/>
    <w:rsid w:val="003911C0"/>
    <w:rsid w:val="0039264B"/>
    <w:rsid w:val="00392DC9"/>
    <w:rsid w:val="00392E28"/>
    <w:rsid w:val="0039426F"/>
    <w:rsid w:val="0039506D"/>
    <w:rsid w:val="00396BA9"/>
    <w:rsid w:val="00396FEA"/>
    <w:rsid w:val="003A1736"/>
    <w:rsid w:val="003A1D19"/>
    <w:rsid w:val="003A458E"/>
    <w:rsid w:val="003A4965"/>
    <w:rsid w:val="003A4C44"/>
    <w:rsid w:val="003A69ED"/>
    <w:rsid w:val="003B0561"/>
    <w:rsid w:val="003B0F27"/>
    <w:rsid w:val="003B1389"/>
    <w:rsid w:val="003B23D7"/>
    <w:rsid w:val="003B3803"/>
    <w:rsid w:val="003B4070"/>
    <w:rsid w:val="003B4817"/>
    <w:rsid w:val="003B5C8F"/>
    <w:rsid w:val="003B6022"/>
    <w:rsid w:val="003B6831"/>
    <w:rsid w:val="003B6A3F"/>
    <w:rsid w:val="003B6D10"/>
    <w:rsid w:val="003B79DF"/>
    <w:rsid w:val="003C0B04"/>
    <w:rsid w:val="003C39DD"/>
    <w:rsid w:val="003C53ED"/>
    <w:rsid w:val="003D01FA"/>
    <w:rsid w:val="003D047B"/>
    <w:rsid w:val="003D0F84"/>
    <w:rsid w:val="003D365A"/>
    <w:rsid w:val="003D634B"/>
    <w:rsid w:val="003D679F"/>
    <w:rsid w:val="003D6B83"/>
    <w:rsid w:val="003D70D8"/>
    <w:rsid w:val="003E0A82"/>
    <w:rsid w:val="003E0B1D"/>
    <w:rsid w:val="003E0F6B"/>
    <w:rsid w:val="003E2071"/>
    <w:rsid w:val="003E245C"/>
    <w:rsid w:val="003E2DA4"/>
    <w:rsid w:val="003E300B"/>
    <w:rsid w:val="003E4E47"/>
    <w:rsid w:val="003E59AF"/>
    <w:rsid w:val="003E5C37"/>
    <w:rsid w:val="003E60B1"/>
    <w:rsid w:val="003E617D"/>
    <w:rsid w:val="003E780E"/>
    <w:rsid w:val="003F0415"/>
    <w:rsid w:val="003F3C92"/>
    <w:rsid w:val="003F4485"/>
    <w:rsid w:val="003F61B7"/>
    <w:rsid w:val="003F699C"/>
    <w:rsid w:val="00400625"/>
    <w:rsid w:val="00400E68"/>
    <w:rsid w:val="004011DE"/>
    <w:rsid w:val="00401DC8"/>
    <w:rsid w:val="00402213"/>
    <w:rsid w:val="00402C56"/>
    <w:rsid w:val="00403161"/>
    <w:rsid w:val="00404065"/>
    <w:rsid w:val="0040422E"/>
    <w:rsid w:val="00404CB9"/>
    <w:rsid w:val="00405212"/>
    <w:rsid w:val="00406356"/>
    <w:rsid w:val="004125AF"/>
    <w:rsid w:val="00412D40"/>
    <w:rsid w:val="004132D1"/>
    <w:rsid w:val="00413956"/>
    <w:rsid w:val="00413CEE"/>
    <w:rsid w:val="004140D9"/>
    <w:rsid w:val="0041583A"/>
    <w:rsid w:val="00415A85"/>
    <w:rsid w:val="00416607"/>
    <w:rsid w:val="00416E60"/>
    <w:rsid w:val="004207C1"/>
    <w:rsid w:val="00420DE8"/>
    <w:rsid w:val="004215BD"/>
    <w:rsid w:val="00423DA3"/>
    <w:rsid w:val="00424A7D"/>
    <w:rsid w:val="00424DDB"/>
    <w:rsid w:val="00424FCC"/>
    <w:rsid w:val="00424FE1"/>
    <w:rsid w:val="00425059"/>
    <w:rsid w:val="00426F5C"/>
    <w:rsid w:val="00427EE0"/>
    <w:rsid w:val="004335BD"/>
    <w:rsid w:val="00435512"/>
    <w:rsid w:val="00436129"/>
    <w:rsid w:val="004365EB"/>
    <w:rsid w:val="00436720"/>
    <w:rsid w:val="0043703E"/>
    <w:rsid w:val="004418A1"/>
    <w:rsid w:val="00441DA1"/>
    <w:rsid w:val="00443555"/>
    <w:rsid w:val="004435E6"/>
    <w:rsid w:val="00443681"/>
    <w:rsid w:val="004436DC"/>
    <w:rsid w:val="00444AE6"/>
    <w:rsid w:val="00445611"/>
    <w:rsid w:val="00446CE9"/>
    <w:rsid w:val="004474EE"/>
    <w:rsid w:val="00450377"/>
    <w:rsid w:val="00450AA5"/>
    <w:rsid w:val="00450AB3"/>
    <w:rsid w:val="00451774"/>
    <w:rsid w:val="00452142"/>
    <w:rsid w:val="004527F5"/>
    <w:rsid w:val="004533DD"/>
    <w:rsid w:val="00453C26"/>
    <w:rsid w:val="0045450A"/>
    <w:rsid w:val="0045595E"/>
    <w:rsid w:val="004602DB"/>
    <w:rsid w:val="0046180F"/>
    <w:rsid w:val="00464A3D"/>
    <w:rsid w:val="00467853"/>
    <w:rsid w:val="004710DC"/>
    <w:rsid w:val="004713FB"/>
    <w:rsid w:val="00473562"/>
    <w:rsid w:val="00473C1A"/>
    <w:rsid w:val="00474271"/>
    <w:rsid w:val="00474678"/>
    <w:rsid w:val="0047595A"/>
    <w:rsid w:val="00477C68"/>
    <w:rsid w:val="00480421"/>
    <w:rsid w:val="004808CC"/>
    <w:rsid w:val="0048102A"/>
    <w:rsid w:val="004833B0"/>
    <w:rsid w:val="00483E04"/>
    <w:rsid w:val="0048569C"/>
    <w:rsid w:val="00485B0F"/>
    <w:rsid w:val="00486CB3"/>
    <w:rsid w:val="00486CFC"/>
    <w:rsid w:val="004870CC"/>
    <w:rsid w:val="00490BA7"/>
    <w:rsid w:val="00491E06"/>
    <w:rsid w:val="00492056"/>
    <w:rsid w:val="0049205D"/>
    <w:rsid w:val="0049340B"/>
    <w:rsid w:val="004935BD"/>
    <w:rsid w:val="00493C98"/>
    <w:rsid w:val="00496719"/>
    <w:rsid w:val="00496763"/>
    <w:rsid w:val="004969EE"/>
    <w:rsid w:val="00497673"/>
    <w:rsid w:val="00497F0C"/>
    <w:rsid w:val="004A07FA"/>
    <w:rsid w:val="004A12C1"/>
    <w:rsid w:val="004A338B"/>
    <w:rsid w:val="004A401D"/>
    <w:rsid w:val="004A43DA"/>
    <w:rsid w:val="004A461F"/>
    <w:rsid w:val="004A4AB5"/>
    <w:rsid w:val="004A4C86"/>
    <w:rsid w:val="004B1D4E"/>
    <w:rsid w:val="004B1F72"/>
    <w:rsid w:val="004B20C7"/>
    <w:rsid w:val="004B2654"/>
    <w:rsid w:val="004B32DC"/>
    <w:rsid w:val="004B3949"/>
    <w:rsid w:val="004B3E8C"/>
    <w:rsid w:val="004B5B75"/>
    <w:rsid w:val="004B6600"/>
    <w:rsid w:val="004B71EE"/>
    <w:rsid w:val="004B7424"/>
    <w:rsid w:val="004B74AD"/>
    <w:rsid w:val="004B78F0"/>
    <w:rsid w:val="004C0A5C"/>
    <w:rsid w:val="004C0C1E"/>
    <w:rsid w:val="004C1619"/>
    <w:rsid w:val="004C1FF5"/>
    <w:rsid w:val="004C318D"/>
    <w:rsid w:val="004C4C01"/>
    <w:rsid w:val="004C558D"/>
    <w:rsid w:val="004C5EA5"/>
    <w:rsid w:val="004C6D6E"/>
    <w:rsid w:val="004C70EC"/>
    <w:rsid w:val="004C7495"/>
    <w:rsid w:val="004D0A0E"/>
    <w:rsid w:val="004D0D83"/>
    <w:rsid w:val="004D141F"/>
    <w:rsid w:val="004D15CA"/>
    <w:rsid w:val="004D234A"/>
    <w:rsid w:val="004D277D"/>
    <w:rsid w:val="004D284B"/>
    <w:rsid w:val="004D2C68"/>
    <w:rsid w:val="004D320E"/>
    <w:rsid w:val="004D5006"/>
    <w:rsid w:val="004D6CD6"/>
    <w:rsid w:val="004D7D42"/>
    <w:rsid w:val="004D7FE4"/>
    <w:rsid w:val="004E0492"/>
    <w:rsid w:val="004E076E"/>
    <w:rsid w:val="004E0C02"/>
    <w:rsid w:val="004E2AB5"/>
    <w:rsid w:val="004E30DC"/>
    <w:rsid w:val="004E34A5"/>
    <w:rsid w:val="004E368A"/>
    <w:rsid w:val="004E436B"/>
    <w:rsid w:val="004E4862"/>
    <w:rsid w:val="004E498F"/>
    <w:rsid w:val="004E55B8"/>
    <w:rsid w:val="004E5EDA"/>
    <w:rsid w:val="004E5FC5"/>
    <w:rsid w:val="004E6F2B"/>
    <w:rsid w:val="004E71AE"/>
    <w:rsid w:val="004E7C83"/>
    <w:rsid w:val="004F0137"/>
    <w:rsid w:val="004F0551"/>
    <w:rsid w:val="004F0640"/>
    <w:rsid w:val="004F0AF4"/>
    <w:rsid w:val="004F23EF"/>
    <w:rsid w:val="004F3A56"/>
    <w:rsid w:val="004F488A"/>
    <w:rsid w:val="004F5AEA"/>
    <w:rsid w:val="00500BE3"/>
    <w:rsid w:val="00501FD8"/>
    <w:rsid w:val="00502235"/>
    <w:rsid w:val="005034BD"/>
    <w:rsid w:val="005035E2"/>
    <w:rsid w:val="0050387B"/>
    <w:rsid w:val="005046DF"/>
    <w:rsid w:val="005048A3"/>
    <w:rsid w:val="00504B68"/>
    <w:rsid w:val="00505611"/>
    <w:rsid w:val="00505799"/>
    <w:rsid w:val="005058EB"/>
    <w:rsid w:val="00506216"/>
    <w:rsid w:val="00506B86"/>
    <w:rsid w:val="005071E8"/>
    <w:rsid w:val="00507AA9"/>
    <w:rsid w:val="0051127D"/>
    <w:rsid w:val="00511BFF"/>
    <w:rsid w:val="00512D30"/>
    <w:rsid w:val="00513FAC"/>
    <w:rsid w:val="00514E24"/>
    <w:rsid w:val="00516216"/>
    <w:rsid w:val="0051635D"/>
    <w:rsid w:val="0051703E"/>
    <w:rsid w:val="00517A92"/>
    <w:rsid w:val="00522096"/>
    <w:rsid w:val="005220C6"/>
    <w:rsid w:val="005223E7"/>
    <w:rsid w:val="005228B8"/>
    <w:rsid w:val="00522F09"/>
    <w:rsid w:val="005253BF"/>
    <w:rsid w:val="005255BC"/>
    <w:rsid w:val="005279C6"/>
    <w:rsid w:val="00527EF2"/>
    <w:rsid w:val="00530B60"/>
    <w:rsid w:val="005325ED"/>
    <w:rsid w:val="0053334A"/>
    <w:rsid w:val="005337E8"/>
    <w:rsid w:val="00533C8E"/>
    <w:rsid w:val="00535700"/>
    <w:rsid w:val="00540390"/>
    <w:rsid w:val="00541600"/>
    <w:rsid w:val="00541AB1"/>
    <w:rsid w:val="00541E47"/>
    <w:rsid w:val="005427FF"/>
    <w:rsid w:val="00543B47"/>
    <w:rsid w:val="005441CC"/>
    <w:rsid w:val="00544DBC"/>
    <w:rsid w:val="00545F4B"/>
    <w:rsid w:val="005479AB"/>
    <w:rsid w:val="00550050"/>
    <w:rsid w:val="005505BE"/>
    <w:rsid w:val="0055068A"/>
    <w:rsid w:val="005506CE"/>
    <w:rsid w:val="0055236E"/>
    <w:rsid w:val="005526FA"/>
    <w:rsid w:val="00552DB7"/>
    <w:rsid w:val="00553ABF"/>
    <w:rsid w:val="00554020"/>
    <w:rsid w:val="005553E5"/>
    <w:rsid w:val="00555ABA"/>
    <w:rsid w:val="00555CFD"/>
    <w:rsid w:val="0055630A"/>
    <w:rsid w:val="005565D4"/>
    <w:rsid w:val="00556751"/>
    <w:rsid w:val="00556994"/>
    <w:rsid w:val="005569D1"/>
    <w:rsid w:val="005607CA"/>
    <w:rsid w:val="00561290"/>
    <w:rsid w:val="00561432"/>
    <w:rsid w:val="0056170E"/>
    <w:rsid w:val="00563213"/>
    <w:rsid w:val="00563EA1"/>
    <w:rsid w:val="00563FC7"/>
    <w:rsid w:val="0056466A"/>
    <w:rsid w:val="0056490B"/>
    <w:rsid w:val="00564A4C"/>
    <w:rsid w:val="00566638"/>
    <w:rsid w:val="005668F2"/>
    <w:rsid w:val="00566BC8"/>
    <w:rsid w:val="00566D67"/>
    <w:rsid w:val="00567685"/>
    <w:rsid w:val="00567A72"/>
    <w:rsid w:val="00571096"/>
    <w:rsid w:val="0057202E"/>
    <w:rsid w:val="00572DD8"/>
    <w:rsid w:val="005741D5"/>
    <w:rsid w:val="005745FE"/>
    <w:rsid w:val="00574FB6"/>
    <w:rsid w:val="005753B3"/>
    <w:rsid w:val="005764B6"/>
    <w:rsid w:val="0057651A"/>
    <w:rsid w:val="005767E1"/>
    <w:rsid w:val="005771C5"/>
    <w:rsid w:val="0057765A"/>
    <w:rsid w:val="00577A69"/>
    <w:rsid w:val="00580E46"/>
    <w:rsid w:val="00581CE7"/>
    <w:rsid w:val="00583222"/>
    <w:rsid w:val="00583DE4"/>
    <w:rsid w:val="005851CE"/>
    <w:rsid w:val="005852D7"/>
    <w:rsid w:val="00587057"/>
    <w:rsid w:val="005879FD"/>
    <w:rsid w:val="00587C4F"/>
    <w:rsid w:val="00587E2A"/>
    <w:rsid w:val="00590493"/>
    <w:rsid w:val="00590A20"/>
    <w:rsid w:val="00591F83"/>
    <w:rsid w:val="00593AD0"/>
    <w:rsid w:val="005942E0"/>
    <w:rsid w:val="00594307"/>
    <w:rsid w:val="005946B9"/>
    <w:rsid w:val="0059487D"/>
    <w:rsid w:val="00595AA9"/>
    <w:rsid w:val="00596E08"/>
    <w:rsid w:val="005A1824"/>
    <w:rsid w:val="005A1A56"/>
    <w:rsid w:val="005A241E"/>
    <w:rsid w:val="005A3718"/>
    <w:rsid w:val="005A4B61"/>
    <w:rsid w:val="005A53E0"/>
    <w:rsid w:val="005A683D"/>
    <w:rsid w:val="005B1133"/>
    <w:rsid w:val="005B2215"/>
    <w:rsid w:val="005B27BD"/>
    <w:rsid w:val="005B2A08"/>
    <w:rsid w:val="005B2C13"/>
    <w:rsid w:val="005B2CA5"/>
    <w:rsid w:val="005B352D"/>
    <w:rsid w:val="005B4ACD"/>
    <w:rsid w:val="005B53DB"/>
    <w:rsid w:val="005B68E0"/>
    <w:rsid w:val="005B71FB"/>
    <w:rsid w:val="005B7AC4"/>
    <w:rsid w:val="005C0E6B"/>
    <w:rsid w:val="005C0F11"/>
    <w:rsid w:val="005C1268"/>
    <w:rsid w:val="005C1546"/>
    <w:rsid w:val="005C2176"/>
    <w:rsid w:val="005C221A"/>
    <w:rsid w:val="005C2753"/>
    <w:rsid w:val="005C3952"/>
    <w:rsid w:val="005C44F1"/>
    <w:rsid w:val="005C5728"/>
    <w:rsid w:val="005C57DB"/>
    <w:rsid w:val="005C6F96"/>
    <w:rsid w:val="005C7EE5"/>
    <w:rsid w:val="005D0442"/>
    <w:rsid w:val="005D0750"/>
    <w:rsid w:val="005D11B0"/>
    <w:rsid w:val="005D1C43"/>
    <w:rsid w:val="005D27E5"/>
    <w:rsid w:val="005D32C5"/>
    <w:rsid w:val="005D5098"/>
    <w:rsid w:val="005D57C5"/>
    <w:rsid w:val="005D6DA1"/>
    <w:rsid w:val="005E0309"/>
    <w:rsid w:val="005E0FA1"/>
    <w:rsid w:val="005E29AC"/>
    <w:rsid w:val="005E2EF0"/>
    <w:rsid w:val="005E384E"/>
    <w:rsid w:val="005E40EB"/>
    <w:rsid w:val="005E4507"/>
    <w:rsid w:val="005E5D45"/>
    <w:rsid w:val="005E6A6B"/>
    <w:rsid w:val="005E6B16"/>
    <w:rsid w:val="005E6BA2"/>
    <w:rsid w:val="005F0BF9"/>
    <w:rsid w:val="005F12CE"/>
    <w:rsid w:val="005F14E3"/>
    <w:rsid w:val="005F2B4D"/>
    <w:rsid w:val="005F3AEF"/>
    <w:rsid w:val="005F4FCB"/>
    <w:rsid w:val="005F52B5"/>
    <w:rsid w:val="005F6973"/>
    <w:rsid w:val="005F7A55"/>
    <w:rsid w:val="00600005"/>
    <w:rsid w:val="006010CC"/>
    <w:rsid w:val="00601F1E"/>
    <w:rsid w:val="006020EF"/>
    <w:rsid w:val="00603EC7"/>
    <w:rsid w:val="00604369"/>
    <w:rsid w:val="006047E2"/>
    <w:rsid w:val="006048A3"/>
    <w:rsid w:val="0060528F"/>
    <w:rsid w:val="006062FA"/>
    <w:rsid w:val="0060679E"/>
    <w:rsid w:val="00607F76"/>
    <w:rsid w:val="0061022B"/>
    <w:rsid w:val="00610A63"/>
    <w:rsid w:val="006114A6"/>
    <w:rsid w:val="00611B4B"/>
    <w:rsid w:val="006124CD"/>
    <w:rsid w:val="0061360C"/>
    <w:rsid w:val="00614BB3"/>
    <w:rsid w:val="00616D69"/>
    <w:rsid w:val="0062036F"/>
    <w:rsid w:val="0062109A"/>
    <w:rsid w:val="00621DC9"/>
    <w:rsid w:val="00622179"/>
    <w:rsid w:val="0062254B"/>
    <w:rsid w:val="00622F77"/>
    <w:rsid w:val="0062346F"/>
    <w:rsid w:val="00624624"/>
    <w:rsid w:val="00624B10"/>
    <w:rsid w:val="0062521E"/>
    <w:rsid w:val="00625C5D"/>
    <w:rsid w:val="006264D8"/>
    <w:rsid w:val="00627095"/>
    <w:rsid w:val="00627789"/>
    <w:rsid w:val="0063061C"/>
    <w:rsid w:val="00631F40"/>
    <w:rsid w:val="00632488"/>
    <w:rsid w:val="00632545"/>
    <w:rsid w:val="006325D5"/>
    <w:rsid w:val="00637248"/>
    <w:rsid w:val="006405DF"/>
    <w:rsid w:val="0064084D"/>
    <w:rsid w:val="00642453"/>
    <w:rsid w:val="0064311D"/>
    <w:rsid w:val="0064316B"/>
    <w:rsid w:val="00643F1F"/>
    <w:rsid w:val="00645072"/>
    <w:rsid w:val="006470A8"/>
    <w:rsid w:val="00647811"/>
    <w:rsid w:val="00650BE9"/>
    <w:rsid w:val="00651070"/>
    <w:rsid w:val="00651BA4"/>
    <w:rsid w:val="00652665"/>
    <w:rsid w:val="0065295B"/>
    <w:rsid w:val="00653D0D"/>
    <w:rsid w:val="0065406D"/>
    <w:rsid w:val="0065429A"/>
    <w:rsid w:val="00657B18"/>
    <w:rsid w:val="006631E3"/>
    <w:rsid w:val="00663C49"/>
    <w:rsid w:val="006644A5"/>
    <w:rsid w:val="006652ED"/>
    <w:rsid w:val="00665D16"/>
    <w:rsid w:val="006664D4"/>
    <w:rsid w:val="00666664"/>
    <w:rsid w:val="00666D61"/>
    <w:rsid w:val="006701E2"/>
    <w:rsid w:val="00670338"/>
    <w:rsid w:val="0067076C"/>
    <w:rsid w:val="00670C2C"/>
    <w:rsid w:val="00670DE0"/>
    <w:rsid w:val="00671D25"/>
    <w:rsid w:val="0067241E"/>
    <w:rsid w:val="006726E0"/>
    <w:rsid w:val="00673126"/>
    <w:rsid w:val="00673256"/>
    <w:rsid w:val="0067383E"/>
    <w:rsid w:val="0067470F"/>
    <w:rsid w:val="006750F1"/>
    <w:rsid w:val="00675436"/>
    <w:rsid w:val="00675CA7"/>
    <w:rsid w:val="00675E45"/>
    <w:rsid w:val="00676A46"/>
    <w:rsid w:val="00680AD3"/>
    <w:rsid w:val="006816FB"/>
    <w:rsid w:val="00681C00"/>
    <w:rsid w:val="00681DFD"/>
    <w:rsid w:val="00682333"/>
    <w:rsid w:val="0068310C"/>
    <w:rsid w:val="006834E4"/>
    <w:rsid w:val="00683A15"/>
    <w:rsid w:val="00684038"/>
    <w:rsid w:val="006842BD"/>
    <w:rsid w:val="006846BB"/>
    <w:rsid w:val="00685724"/>
    <w:rsid w:val="0069167B"/>
    <w:rsid w:val="00691E5D"/>
    <w:rsid w:val="00692057"/>
    <w:rsid w:val="0069237B"/>
    <w:rsid w:val="00692FEC"/>
    <w:rsid w:val="0069393D"/>
    <w:rsid w:val="00693C39"/>
    <w:rsid w:val="00695F2A"/>
    <w:rsid w:val="006961C5"/>
    <w:rsid w:val="00696B6E"/>
    <w:rsid w:val="00697560"/>
    <w:rsid w:val="006A0021"/>
    <w:rsid w:val="006A11C9"/>
    <w:rsid w:val="006A2517"/>
    <w:rsid w:val="006A5BA9"/>
    <w:rsid w:val="006A644C"/>
    <w:rsid w:val="006A69E4"/>
    <w:rsid w:val="006A7045"/>
    <w:rsid w:val="006A7D75"/>
    <w:rsid w:val="006B015D"/>
    <w:rsid w:val="006B1034"/>
    <w:rsid w:val="006B53A9"/>
    <w:rsid w:val="006B573D"/>
    <w:rsid w:val="006B675C"/>
    <w:rsid w:val="006B69AD"/>
    <w:rsid w:val="006B6B44"/>
    <w:rsid w:val="006B74A5"/>
    <w:rsid w:val="006B7567"/>
    <w:rsid w:val="006C0325"/>
    <w:rsid w:val="006C0E28"/>
    <w:rsid w:val="006C1CD5"/>
    <w:rsid w:val="006C1DC3"/>
    <w:rsid w:val="006C2B51"/>
    <w:rsid w:val="006C347F"/>
    <w:rsid w:val="006C34E5"/>
    <w:rsid w:val="006C365B"/>
    <w:rsid w:val="006C42A1"/>
    <w:rsid w:val="006C7996"/>
    <w:rsid w:val="006D4919"/>
    <w:rsid w:val="006D57CE"/>
    <w:rsid w:val="006D6073"/>
    <w:rsid w:val="006D6266"/>
    <w:rsid w:val="006E055E"/>
    <w:rsid w:val="006E0E6C"/>
    <w:rsid w:val="006E1030"/>
    <w:rsid w:val="006E1A6C"/>
    <w:rsid w:val="006E5041"/>
    <w:rsid w:val="006E510D"/>
    <w:rsid w:val="006E528E"/>
    <w:rsid w:val="006E6687"/>
    <w:rsid w:val="006E7597"/>
    <w:rsid w:val="006F0173"/>
    <w:rsid w:val="006F2F8E"/>
    <w:rsid w:val="006F2FDC"/>
    <w:rsid w:val="006F3637"/>
    <w:rsid w:val="006F37D9"/>
    <w:rsid w:val="006F4409"/>
    <w:rsid w:val="006F48F2"/>
    <w:rsid w:val="006F4BEF"/>
    <w:rsid w:val="006F4CCF"/>
    <w:rsid w:val="006F4F97"/>
    <w:rsid w:val="006F6119"/>
    <w:rsid w:val="006F6E18"/>
    <w:rsid w:val="006F7A0D"/>
    <w:rsid w:val="00702352"/>
    <w:rsid w:val="00702959"/>
    <w:rsid w:val="00702D7C"/>
    <w:rsid w:val="00703BB1"/>
    <w:rsid w:val="0070404B"/>
    <w:rsid w:val="007042D7"/>
    <w:rsid w:val="00704D31"/>
    <w:rsid w:val="00705118"/>
    <w:rsid w:val="0070569C"/>
    <w:rsid w:val="00706660"/>
    <w:rsid w:val="00706725"/>
    <w:rsid w:val="00706973"/>
    <w:rsid w:val="00707599"/>
    <w:rsid w:val="00707BD7"/>
    <w:rsid w:val="00713F7A"/>
    <w:rsid w:val="00714246"/>
    <w:rsid w:val="00714FD2"/>
    <w:rsid w:val="007155D1"/>
    <w:rsid w:val="00716462"/>
    <w:rsid w:val="00717C5D"/>
    <w:rsid w:val="0072207E"/>
    <w:rsid w:val="00722224"/>
    <w:rsid w:val="00723A73"/>
    <w:rsid w:val="007246A2"/>
    <w:rsid w:val="007254F7"/>
    <w:rsid w:val="007258EF"/>
    <w:rsid w:val="00725C76"/>
    <w:rsid w:val="007304EE"/>
    <w:rsid w:val="00732965"/>
    <w:rsid w:val="007340C2"/>
    <w:rsid w:val="0073539A"/>
    <w:rsid w:val="00735F6C"/>
    <w:rsid w:val="00736A48"/>
    <w:rsid w:val="00736CFD"/>
    <w:rsid w:val="00736D72"/>
    <w:rsid w:val="00737164"/>
    <w:rsid w:val="00737AFE"/>
    <w:rsid w:val="00737EA5"/>
    <w:rsid w:val="00740093"/>
    <w:rsid w:val="00740A2A"/>
    <w:rsid w:val="00741694"/>
    <w:rsid w:val="00742A9A"/>
    <w:rsid w:val="00744128"/>
    <w:rsid w:val="00745576"/>
    <w:rsid w:val="00745E39"/>
    <w:rsid w:val="00746BCF"/>
    <w:rsid w:val="00746D26"/>
    <w:rsid w:val="007478E0"/>
    <w:rsid w:val="00747F2D"/>
    <w:rsid w:val="00750C2F"/>
    <w:rsid w:val="00750C9E"/>
    <w:rsid w:val="007512FA"/>
    <w:rsid w:val="007513D9"/>
    <w:rsid w:val="007515B3"/>
    <w:rsid w:val="007521E9"/>
    <w:rsid w:val="0075240D"/>
    <w:rsid w:val="00753FEB"/>
    <w:rsid w:val="00754B6E"/>
    <w:rsid w:val="00754BE1"/>
    <w:rsid w:val="007552AF"/>
    <w:rsid w:val="007554B0"/>
    <w:rsid w:val="007578B1"/>
    <w:rsid w:val="00757CBA"/>
    <w:rsid w:val="00757E52"/>
    <w:rsid w:val="007612FB"/>
    <w:rsid w:val="00761CF5"/>
    <w:rsid w:val="007630BF"/>
    <w:rsid w:val="0076418A"/>
    <w:rsid w:val="007642CB"/>
    <w:rsid w:val="00765226"/>
    <w:rsid w:val="00765520"/>
    <w:rsid w:val="00766578"/>
    <w:rsid w:val="00766879"/>
    <w:rsid w:val="007671DE"/>
    <w:rsid w:val="00767CC0"/>
    <w:rsid w:val="00770F29"/>
    <w:rsid w:val="007713DD"/>
    <w:rsid w:val="007724CB"/>
    <w:rsid w:val="00773A6C"/>
    <w:rsid w:val="007742FE"/>
    <w:rsid w:val="00774D50"/>
    <w:rsid w:val="00774DFB"/>
    <w:rsid w:val="00775000"/>
    <w:rsid w:val="00775093"/>
    <w:rsid w:val="0077660A"/>
    <w:rsid w:val="00777163"/>
    <w:rsid w:val="00780BC3"/>
    <w:rsid w:val="00780EEC"/>
    <w:rsid w:val="007820C9"/>
    <w:rsid w:val="00782244"/>
    <w:rsid w:val="00783E9A"/>
    <w:rsid w:val="007848A7"/>
    <w:rsid w:val="0078549F"/>
    <w:rsid w:val="00785A35"/>
    <w:rsid w:val="0078618C"/>
    <w:rsid w:val="0078636B"/>
    <w:rsid w:val="00787652"/>
    <w:rsid w:val="007877DA"/>
    <w:rsid w:val="00790579"/>
    <w:rsid w:val="00790BEF"/>
    <w:rsid w:val="00791919"/>
    <w:rsid w:val="00791BFC"/>
    <w:rsid w:val="00792077"/>
    <w:rsid w:val="00792A88"/>
    <w:rsid w:val="00792DF8"/>
    <w:rsid w:val="0079312B"/>
    <w:rsid w:val="0079338A"/>
    <w:rsid w:val="0079416A"/>
    <w:rsid w:val="00794C2B"/>
    <w:rsid w:val="0079523B"/>
    <w:rsid w:val="00795852"/>
    <w:rsid w:val="00797132"/>
    <w:rsid w:val="007972F3"/>
    <w:rsid w:val="00797605"/>
    <w:rsid w:val="00797659"/>
    <w:rsid w:val="00797950"/>
    <w:rsid w:val="007A0004"/>
    <w:rsid w:val="007A0294"/>
    <w:rsid w:val="007A0982"/>
    <w:rsid w:val="007A0DEC"/>
    <w:rsid w:val="007A1269"/>
    <w:rsid w:val="007A16B1"/>
    <w:rsid w:val="007A251E"/>
    <w:rsid w:val="007A268A"/>
    <w:rsid w:val="007A2F71"/>
    <w:rsid w:val="007A329B"/>
    <w:rsid w:val="007A6388"/>
    <w:rsid w:val="007A65E8"/>
    <w:rsid w:val="007A6F89"/>
    <w:rsid w:val="007A77BB"/>
    <w:rsid w:val="007A7B91"/>
    <w:rsid w:val="007A7D30"/>
    <w:rsid w:val="007A7DA4"/>
    <w:rsid w:val="007B0534"/>
    <w:rsid w:val="007B0906"/>
    <w:rsid w:val="007B15F4"/>
    <w:rsid w:val="007B1679"/>
    <w:rsid w:val="007B1A98"/>
    <w:rsid w:val="007B2FD7"/>
    <w:rsid w:val="007B3573"/>
    <w:rsid w:val="007B516D"/>
    <w:rsid w:val="007B6414"/>
    <w:rsid w:val="007B7D81"/>
    <w:rsid w:val="007C021A"/>
    <w:rsid w:val="007C07F2"/>
    <w:rsid w:val="007C2500"/>
    <w:rsid w:val="007C4812"/>
    <w:rsid w:val="007C4D8A"/>
    <w:rsid w:val="007C51CD"/>
    <w:rsid w:val="007D025A"/>
    <w:rsid w:val="007D0F6C"/>
    <w:rsid w:val="007D12D0"/>
    <w:rsid w:val="007D2A89"/>
    <w:rsid w:val="007D2B50"/>
    <w:rsid w:val="007D3F25"/>
    <w:rsid w:val="007D6535"/>
    <w:rsid w:val="007D706B"/>
    <w:rsid w:val="007D7B85"/>
    <w:rsid w:val="007E09AC"/>
    <w:rsid w:val="007E24ED"/>
    <w:rsid w:val="007E2A8D"/>
    <w:rsid w:val="007E436B"/>
    <w:rsid w:val="007E44F5"/>
    <w:rsid w:val="007E4C55"/>
    <w:rsid w:val="007E6538"/>
    <w:rsid w:val="007E6EF2"/>
    <w:rsid w:val="007F0038"/>
    <w:rsid w:val="007F090E"/>
    <w:rsid w:val="007F1E4B"/>
    <w:rsid w:val="007F1E6E"/>
    <w:rsid w:val="007F2112"/>
    <w:rsid w:val="007F225F"/>
    <w:rsid w:val="007F3152"/>
    <w:rsid w:val="007F38A4"/>
    <w:rsid w:val="007F3E20"/>
    <w:rsid w:val="007F3FBC"/>
    <w:rsid w:val="007F6CA9"/>
    <w:rsid w:val="007F6DF6"/>
    <w:rsid w:val="007F6E70"/>
    <w:rsid w:val="007F6EB7"/>
    <w:rsid w:val="007F6EFC"/>
    <w:rsid w:val="00801442"/>
    <w:rsid w:val="00801E7C"/>
    <w:rsid w:val="008040A5"/>
    <w:rsid w:val="00804C27"/>
    <w:rsid w:val="00804F2C"/>
    <w:rsid w:val="00805FAF"/>
    <w:rsid w:val="008060A0"/>
    <w:rsid w:val="00806C71"/>
    <w:rsid w:val="00813825"/>
    <w:rsid w:val="008143E1"/>
    <w:rsid w:val="00814AC3"/>
    <w:rsid w:val="00814BCA"/>
    <w:rsid w:val="00815B96"/>
    <w:rsid w:val="008161CC"/>
    <w:rsid w:val="008162AF"/>
    <w:rsid w:val="00816583"/>
    <w:rsid w:val="00816643"/>
    <w:rsid w:val="00817104"/>
    <w:rsid w:val="00817F49"/>
    <w:rsid w:val="00821B58"/>
    <w:rsid w:val="0082256B"/>
    <w:rsid w:val="0082295C"/>
    <w:rsid w:val="0082344F"/>
    <w:rsid w:val="00823F60"/>
    <w:rsid w:val="00824204"/>
    <w:rsid w:val="00824427"/>
    <w:rsid w:val="00825B5A"/>
    <w:rsid w:val="0082679B"/>
    <w:rsid w:val="00827799"/>
    <w:rsid w:val="00827A4B"/>
    <w:rsid w:val="00830436"/>
    <w:rsid w:val="008307B9"/>
    <w:rsid w:val="00830AE7"/>
    <w:rsid w:val="00830EFB"/>
    <w:rsid w:val="008313D5"/>
    <w:rsid w:val="0083163F"/>
    <w:rsid w:val="00831E32"/>
    <w:rsid w:val="00831F23"/>
    <w:rsid w:val="008320A6"/>
    <w:rsid w:val="00832277"/>
    <w:rsid w:val="00833EA4"/>
    <w:rsid w:val="00833FBE"/>
    <w:rsid w:val="00834E9F"/>
    <w:rsid w:val="00836765"/>
    <w:rsid w:val="00836A7E"/>
    <w:rsid w:val="008378DD"/>
    <w:rsid w:val="00837CFF"/>
    <w:rsid w:val="00841C4C"/>
    <w:rsid w:val="00842B54"/>
    <w:rsid w:val="00843002"/>
    <w:rsid w:val="00843B5F"/>
    <w:rsid w:val="00844A7E"/>
    <w:rsid w:val="00845041"/>
    <w:rsid w:val="00845ACD"/>
    <w:rsid w:val="008460EF"/>
    <w:rsid w:val="0084653C"/>
    <w:rsid w:val="008466EA"/>
    <w:rsid w:val="00846D9A"/>
    <w:rsid w:val="0085011D"/>
    <w:rsid w:val="008503F5"/>
    <w:rsid w:val="00850743"/>
    <w:rsid w:val="00851805"/>
    <w:rsid w:val="008519C5"/>
    <w:rsid w:val="00851FCD"/>
    <w:rsid w:val="00852AA7"/>
    <w:rsid w:val="00854A1A"/>
    <w:rsid w:val="0085555A"/>
    <w:rsid w:val="00861364"/>
    <w:rsid w:val="00861F86"/>
    <w:rsid w:val="00862888"/>
    <w:rsid w:val="0086326B"/>
    <w:rsid w:val="00863B8C"/>
    <w:rsid w:val="00865B30"/>
    <w:rsid w:val="00866C2B"/>
    <w:rsid w:val="00866D8B"/>
    <w:rsid w:val="00867317"/>
    <w:rsid w:val="0086745C"/>
    <w:rsid w:val="00867553"/>
    <w:rsid w:val="00867675"/>
    <w:rsid w:val="00867A97"/>
    <w:rsid w:val="00867CA8"/>
    <w:rsid w:val="00870785"/>
    <w:rsid w:val="00871524"/>
    <w:rsid w:val="00872401"/>
    <w:rsid w:val="00872592"/>
    <w:rsid w:val="008737B1"/>
    <w:rsid w:val="00875042"/>
    <w:rsid w:val="00875109"/>
    <w:rsid w:val="00875323"/>
    <w:rsid w:val="008755A7"/>
    <w:rsid w:val="008756F8"/>
    <w:rsid w:val="00875E49"/>
    <w:rsid w:val="00875F13"/>
    <w:rsid w:val="008769E9"/>
    <w:rsid w:val="00876B4B"/>
    <w:rsid w:val="008772DD"/>
    <w:rsid w:val="00880C66"/>
    <w:rsid w:val="008817AE"/>
    <w:rsid w:val="00882021"/>
    <w:rsid w:val="00883242"/>
    <w:rsid w:val="0088329E"/>
    <w:rsid w:val="008848AA"/>
    <w:rsid w:val="00885229"/>
    <w:rsid w:val="00885439"/>
    <w:rsid w:val="00885573"/>
    <w:rsid w:val="00886301"/>
    <w:rsid w:val="008871CC"/>
    <w:rsid w:val="00887A9E"/>
    <w:rsid w:val="00887B6D"/>
    <w:rsid w:val="008916ED"/>
    <w:rsid w:val="00891F1B"/>
    <w:rsid w:val="00892AF7"/>
    <w:rsid w:val="008940D7"/>
    <w:rsid w:val="008944AD"/>
    <w:rsid w:val="008964B9"/>
    <w:rsid w:val="008A0AAC"/>
    <w:rsid w:val="008A190E"/>
    <w:rsid w:val="008A19A2"/>
    <w:rsid w:val="008A1C18"/>
    <w:rsid w:val="008A2F69"/>
    <w:rsid w:val="008A34CE"/>
    <w:rsid w:val="008A39C8"/>
    <w:rsid w:val="008A4B98"/>
    <w:rsid w:val="008A6459"/>
    <w:rsid w:val="008A6D3E"/>
    <w:rsid w:val="008A72C9"/>
    <w:rsid w:val="008A78A8"/>
    <w:rsid w:val="008B07BE"/>
    <w:rsid w:val="008B2E0E"/>
    <w:rsid w:val="008B35B7"/>
    <w:rsid w:val="008B3A4F"/>
    <w:rsid w:val="008B4407"/>
    <w:rsid w:val="008B5293"/>
    <w:rsid w:val="008B5414"/>
    <w:rsid w:val="008B6096"/>
    <w:rsid w:val="008B62C8"/>
    <w:rsid w:val="008B645C"/>
    <w:rsid w:val="008B6F49"/>
    <w:rsid w:val="008B76E8"/>
    <w:rsid w:val="008B7714"/>
    <w:rsid w:val="008C0123"/>
    <w:rsid w:val="008C046A"/>
    <w:rsid w:val="008C06B9"/>
    <w:rsid w:val="008C0821"/>
    <w:rsid w:val="008C21DA"/>
    <w:rsid w:val="008C3AFC"/>
    <w:rsid w:val="008C456C"/>
    <w:rsid w:val="008C47BB"/>
    <w:rsid w:val="008C4959"/>
    <w:rsid w:val="008C4C42"/>
    <w:rsid w:val="008C4F08"/>
    <w:rsid w:val="008C5A14"/>
    <w:rsid w:val="008C62DB"/>
    <w:rsid w:val="008C7013"/>
    <w:rsid w:val="008C73A6"/>
    <w:rsid w:val="008C7401"/>
    <w:rsid w:val="008D00DC"/>
    <w:rsid w:val="008D1455"/>
    <w:rsid w:val="008D1A3B"/>
    <w:rsid w:val="008D21C1"/>
    <w:rsid w:val="008D22AA"/>
    <w:rsid w:val="008D2663"/>
    <w:rsid w:val="008D2C83"/>
    <w:rsid w:val="008D3764"/>
    <w:rsid w:val="008D3981"/>
    <w:rsid w:val="008D4443"/>
    <w:rsid w:val="008D5664"/>
    <w:rsid w:val="008D5E87"/>
    <w:rsid w:val="008D6C5C"/>
    <w:rsid w:val="008D7AD5"/>
    <w:rsid w:val="008E0487"/>
    <w:rsid w:val="008E05C3"/>
    <w:rsid w:val="008E1748"/>
    <w:rsid w:val="008E29C8"/>
    <w:rsid w:val="008E2C4F"/>
    <w:rsid w:val="008E307B"/>
    <w:rsid w:val="008E3E97"/>
    <w:rsid w:val="008E5E96"/>
    <w:rsid w:val="008E6168"/>
    <w:rsid w:val="008E65FA"/>
    <w:rsid w:val="008E7DBA"/>
    <w:rsid w:val="008F0AD9"/>
    <w:rsid w:val="008F1A35"/>
    <w:rsid w:val="008F2B43"/>
    <w:rsid w:val="008F2B74"/>
    <w:rsid w:val="008F2E9F"/>
    <w:rsid w:val="008F3498"/>
    <w:rsid w:val="008F3878"/>
    <w:rsid w:val="008F5827"/>
    <w:rsid w:val="008F5879"/>
    <w:rsid w:val="008F7149"/>
    <w:rsid w:val="008F766D"/>
    <w:rsid w:val="008F77DF"/>
    <w:rsid w:val="008F7BE8"/>
    <w:rsid w:val="009004D9"/>
    <w:rsid w:val="00900693"/>
    <w:rsid w:val="009013FF"/>
    <w:rsid w:val="00905AFB"/>
    <w:rsid w:val="00906DCA"/>
    <w:rsid w:val="00907A53"/>
    <w:rsid w:val="00910067"/>
    <w:rsid w:val="0091036B"/>
    <w:rsid w:val="00910B01"/>
    <w:rsid w:val="00910CE2"/>
    <w:rsid w:val="00911589"/>
    <w:rsid w:val="00912347"/>
    <w:rsid w:val="00915E07"/>
    <w:rsid w:val="00916140"/>
    <w:rsid w:val="00916FA7"/>
    <w:rsid w:val="0091763D"/>
    <w:rsid w:val="00917FD0"/>
    <w:rsid w:val="009201C2"/>
    <w:rsid w:val="009217A4"/>
    <w:rsid w:val="00922001"/>
    <w:rsid w:val="00922E1D"/>
    <w:rsid w:val="00924256"/>
    <w:rsid w:val="00924420"/>
    <w:rsid w:val="0092516A"/>
    <w:rsid w:val="0092544F"/>
    <w:rsid w:val="00925542"/>
    <w:rsid w:val="00926013"/>
    <w:rsid w:val="00927108"/>
    <w:rsid w:val="00931300"/>
    <w:rsid w:val="00932295"/>
    <w:rsid w:val="009338DB"/>
    <w:rsid w:val="00934041"/>
    <w:rsid w:val="009348EC"/>
    <w:rsid w:val="00934D6B"/>
    <w:rsid w:val="009356EC"/>
    <w:rsid w:val="00936933"/>
    <w:rsid w:val="00937B12"/>
    <w:rsid w:val="00940B39"/>
    <w:rsid w:val="00941271"/>
    <w:rsid w:val="00941922"/>
    <w:rsid w:val="009420D8"/>
    <w:rsid w:val="0094357F"/>
    <w:rsid w:val="0094397E"/>
    <w:rsid w:val="0094430D"/>
    <w:rsid w:val="00945D30"/>
    <w:rsid w:val="00946139"/>
    <w:rsid w:val="009470F9"/>
    <w:rsid w:val="00947359"/>
    <w:rsid w:val="00947B08"/>
    <w:rsid w:val="00951338"/>
    <w:rsid w:val="0095157D"/>
    <w:rsid w:val="00951A9F"/>
    <w:rsid w:val="00951CDE"/>
    <w:rsid w:val="0095324B"/>
    <w:rsid w:val="009547C9"/>
    <w:rsid w:val="00955212"/>
    <w:rsid w:val="00960CC3"/>
    <w:rsid w:val="00961302"/>
    <w:rsid w:val="0096187C"/>
    <w:rsid w:val="00961C27"/>
    <w:rsid w:val="00961FD5"/>
    <w:rsid w:val="00962A4A"/>
    <w:rsid w:val="00962E0D"/>
    <w:rsid w:val="00964581"/>
    <w:rsid w:val="009645A4"/>
    <w:rsid w:val="00970643"/>
    <w:rsid w:val="0097070A"/>
    <w:rsid w:val="009717C1"/>
    <w:rsid w:val="00972507"/>
    <w:rsid w:val="009727BF"/>
    <w:rsid w:val="00972D84"/>
    <w:rsid w:val="009743E2"/>
    <w:rsid w:val="00974625"/>
    <w:rsid w:val="009753C9"/>
    <w:rsid w:val="00975CFE"/>
    <w:rsid w:val="00976660"/>
    <w:rsid w:val="009772B7"/>
    <w:rsid w:val="00977EC0"/>
    <w:rsid w:val="00980623"/>
    <w:rsid w:val="0098255F"/>
    <w:rsid w:val="009832A3"/>
    <w:rsid w:val="0098382B"/>
    <w:rsid w:val="00983FFF"/>
    <w:rsid w:val="00985046"/>
    <w:rsid w:val="009853D6"/>
    <w:rsid w:val="00986312"/>
    <w:rsid w:val="00986D62"/>
    <w:rsid w:val="00987438"/>
    <w:rsid w:val="009878BC"/>
    <w:rsid w:val="009903E2"/>
    <w:rsid w:val="00991195"/>
    <w:rsid w:val="0099125E"/>
    <w:rsid w:val="00991438"/>
    <w:rsid w:val="00991B68"/>
    <w:rsid w:val="00991FC3"/>
    <w:rsid w:val="00992A7E"/>
    <w:rsid w:val="00992E68"/>
    <w:rsid w:val="009935A6"/>
    <w:rsid w:val="00993CA3"/>
    <w:rsid w:val="0099403B"/>
    <w:rsid w:val="009958E4"/>
    <w:rsid w:val="00995BAB"/>
    <w:rsid w:val="009960D5"/>
    <w:rsid w:val="0099657E"/>
    <w:rsid w:val="0099761E"/>
    <w:rsid w:val="00997F18"/>
    <w:rsid w:val="009A1B15"/>
    <w:rsid w:val="009A2BF1"/>
    <w:rsid w:val="009A2D53"/>
    <w:rsid w:val="009A2F84"/>
    <w:rsid w:val="009A4F53"/>
    <w:rsid w:val="009A530F"/>
    <w:rsid w:val="009A643E"/>
    <w:rsid w:val="009A6858"/>
    <w:rsid w:val="009A718E"/>
    <w:rsid w:val="009B00FB"/>
    <w:rsid w:val="009B10CE"/>
    <w:rsid w:val="009B1685"/>
    <w:rsid w:val="009B4395"/>
    <w:rsid w:val="009B5B37"/>
    <w:rsid w:val="009B61F7"/>
    <w:rsid w:val="009B6F65"/>
    <w:rsid w:val="009B7149"/>
    <w:rsid w:val="009B7A42"/>
    <w:rsid w:val="009C072F"/>
    <w:rsid w:val="009C19AD"/>
    <w:rsid w:val="009C34E8"/>
    <w:rsid w:val="009C44D0"/>
    <w:rsid w:val="009C4983"/>
    <w:rsid w:val="009C4E4E"/>
    <w:rsid w:val="009C4EF5"/>
    <w:rsid w:val="009C5B29"/>
    <w:rsid w:val="009C621C"/>
    <w:rsid w:val="009C7EDF"/>
    <w:rsid w:val="009D063C"/>
    <w:rsid w:val="009D1EF5"/>
    <w:rsid w:val="009D29E9"/>
    <w:rsid w:val="009D3DB6"/>
    <w:rsid w:val="009D4FA1"/>
    <w:rsid w:val="009D6762"/>
    <w:rsid w:val="009D76F3"/>
    <w:rsid w:val="009E161B"/>
    <w:rsid w:val="009E1F2D"/>
    <w:rsid w:val="009E23AE"/>
    <w:rsid w:val="009E2FBC"/>
    <w:rsid w:val="009E40C0"/>
    <w:rsid w:val="009E40C8"/>
    <w:rsid w:val="009E5C9E"/>
    <w:rsid w:val="009F073A"/>
    <w:rsid w:val="009F15AE"/>
    <w:rsid w:val="009F1897"/>
    <w:rsid w:val="009F394C"/>
    <w:rsid w:val="009F3A22"/>
    <w:rsid w:val="009F4258"/>
    <w:rsid w:val="009F4C9B"/>
    <w:rsid w:val="009F5202"/>
    <w:rsid w:val="009F55E1"/>
    <w:rsid w:val="009F6BC2"/>
    <w:rsid w:val="009F6F95"/>
    <w:rsid w:val="009F769B"/>
    <w:rsid w:val="00A01088"/>
    <w:rsid w:val="00A015C3"/>
    <w:rsid w:val="00A015DA"/>
    <w:rsid w:val="00A02174"/>
    <w:rsid w:val="00A034E1"/>
    <w:rsid w:val="00A03A7B"/>
    <w:rsid w:val="00A03AE4"/>
    <w:rsid w:val="00A04350"/>
    <w:rsid w:val="00A047CC"/>
    <w:rsid w:val="00A05374"/>
    <w:rsid w:val="00A061CE"/>
    <w:rsid w:val="00A06AAD"/>
    <w:rsid w:val="00A1119B"/>
    <w:rsid w:val="00A13FAD"/>
    <w:rsid w:val="00A14511"/>
    <w:rsid w:val="00A1490D"/>
    <w:rsid w:val="00A15695"/>
    <w:rsid w:val="00A1768E"/>
    <w:rsid w:val="00A20612"/>
    <w:rsid w:val="00A20626"/>
    <w:rsid w:val="00A207F6"/>
    <w:rsid w:val="00A20B4E"/>
    <w:rsid w:val="00A221AB"/>
    <w:rsid w:val="00A22248"/>
    <w:rsid w:val="00A222B6"/>
    <w:rsid w:val="00A234B6"/>
    <w:rsid w:val="00A23F19"/>
    <w:rsid w:val="00A24E4E"/>
    <w:rsid w:val="00A25CC7"/>
    <w:rsid w:val="00A26E4F"/>
    <w:rsid w:val="00A2731B"/>
    <w:rsid w:val="00A27413"/>
    <w:rsid w:val="00A30A2E"/>
    <w:rsid w:val="00A30B9A"/>
    <w:rsid w:val="00A318C1"/>
    <w:rsid w:val="00A31A2D"/>
    <w:rsid w:val="00A31BEC"/>
    <w:rsid w:val="00A3295A"/>
    <w:rsid w:val="00A337A0"/>
    <w:rsid w:val="00A35211"/>
    <w:rsid w:val="00A36A02"/>
    <w:rsid w:val="00A37C18"/>
    <w:rsid w:val="00A40213"/>
    <w:rsid w:val="00A40BFE"/>
    <w:rsid w:val="00A41647"/>
    <w:rsid w:val="00A4201C"/>
    <w:rsid w:val="00A430BD"/>
    <w:rsid w:val="00A448EB"/>
    <w:rsid w:val="00A4587C"/>
    <w:rsid w:val="00A4641E"/>
    <w:rsid w:val="00A47633"/>
    <w:rsid w:val="00A51B81"/>
    <w:rsid w:val="00A52359"/>
    <w:rsid w:val="00A53D94"/>
    <w:rsid w:val="00A554C3"/>
    <w:rsid w:val="00A55F77"/>
    <w:rsid w:val="00A56E6F"/>
    <w:rsid w:val="00A57045"/>
    <w:rsid w:val="00A57BBD"/>
    <w:rsid w:val="00A60ABE"/>
    <w:rsid w:val="00A60EE5"/>
    <w:rsid w:val="00A61393"/>
    <w:rsid w:val="00A61459"/>
    <w:rsid w:val="00A62284"/>
    <w:rsid w:val="00A6290B"/>
    <w:rsid w:val="00A62B5B"/>
    <w:rsid w:val="00A62BFF"/>
    <w:rsid w:val="00A62E4E"/>
    <w:rsid w:val="00A6377E"/>
    <w:rsid w:val="00A64AA5"/>
    <w:rsid w:val="00A6517C"/>
    <w:rsid w:val="00A667A5"/>
    <w:rsid w:val="00A6701C"/>
    <w:rsid w:val="00A70405"/>
    <w:rsid w:val="00A71167"/>
    <w:rsid w:val="00A71500"/>
    <w:rsid w:val="00A72448"/>
    <w:rsid w:val="00A72545"/>
    <w:rsid w:val="00A73516"/>
    <w:rsid w:val="00A747CE"/>
    <w:rsid w:val="00A74C1D"/>
    <w:rsid w:val="00A7636B"/>
    <w:rsid w:val="00A77D5B"/>
    <w:rsid w:val="00A80D21"/>
    <w:rsid w:val="00A834F7"/>
    <w:rsid w:val="00A843C0"/>
    <w:rsid w:val="00A84739"/>
    <w:rsid w:val="00A84E23"/>
    <w:rsid w:val="00A85844"/>
    <w:rsid w:val="00A86291"/>
    <w:rsid w:val="00A8701C"/>
    <w:rsid w:val="00A87456"/>
    <w:rsid w:val="00A87471"/>
    <w:rsid w:val="00A8770E"/>
    <w:rsid w:val="00A907DE"/>
    <w:rsid w:val="00A90FC5"/>
    <w:rsid w:val="00A91E93"/>
    <w:rsid w:val="00A92E5B"/>
    <w:rsid w:val="00A938C7"/>
    <w:rsid w:val="00A93ACA"/>
    <w:rsid w:val="00A940F0"/>
    <w:rsid w:val="00A94D05"/>
    <w:rsid w:val="00A95EB0"/>
    <w:rsid w:val="00A961D5"/>
    <w:rsid w:val="00A967FD"/>
    <w:rsid w:val="00A97281"/>
    <w:rsid w:val="00AA0280"/>
    <w:rsid w:val="00AA3692"/>
    <w:rsid w:val="00AA5E24"/>
    <w:rsid w:val="00AA640B"/>
    <w:rsid w:val="00AA78EB"/>
    <w:rsid w:val="00AA7BEB"/>
    <w:rsid w:val="00AB01EE"/>
    <w:rsid w:val="00AB05A1"/>
    <w:rsid w:val="00AB0A4D"/>
    <w:rsid w:val="00AB0CB2"/>
    <w:rsid w:val="00AB3EE5"/>
    <w:rsid w:val="00AB3F5F"/>
    <w:rsid w:val="00AB4A75"/>
    <w:rsid w:val="00AB5A67"/>
    <w:rsid w:val="00AB5A91"/>
    <w:rsid w:val="00AB6717"/>
    <w:rsid w:val="00AB6D9C"/>
    <w:rsid w:val="00AB6FBB"/>
    <w:rsid w:val="00AC01D1"/>
    <w:rsid w:val="00AC0A59"/>
    <w:rsid w:val="00AC2267"/>
    <w:rsid w:val="00AC4E38"/>
    <w:rsid w:val="00AC52BD"/>
    <w:rsid w:val="00AC5A3D"/>
    <w:rsid w:val="00AC5D76"/>
    <w:rsid w:val="00AC613B"/>
    <w:rsid w:val="00AC721F"/>
    <w:rsid w:val="00AC78CA"/>
    <w:rsid w:val="00AD0355"/>
    <w:rsid w:val="00AD0C27"/>
    <w:rsid w:val="00AD10AE"/>
    <w:rsid w:val="00AD1713"/>
    <w:rsid w:val="00AD2BDC"/>
    <w:rsid w:val="00AD3CA9"/>
    <w:rsid w:val="00AD43E2"/>
    <w:rsid w:val="00AD5D5A"/>
    <w:rsid w:val="00AD5DB4"/>
    <w:rsid w:val="00AD620D"/>
    <w:rsid w:val="00AE087D"/>
    <w:rsid w:val="00AE1506"/>
    <w:rsid w:val="00AE2241"/>
    <w:rsid w:val="00AE3353"/>
    <w:rsid w:val="00AE3612"/>
    <w:rsid w:val="00AE381C"/>
    <w:rsid w:val="00AE387D"/>
    <w:rsid w:val="00AE4A2C"/>
    <w:rsid w:val="00AE4A93"/>
    <w:rsid w:val="00AE5606"/>
    <w:rsid w:val="00AE6B76"/>
    <w:rsid w:val="00AE6FC8"/>
    <w:rsid w:val="00AF091B"/>
    <w:rsid w:val="00AF1440"/>
    <w:rsid w:val="00AF1890"/>
    <w:rsid w:val="00AF1F50"/>
    <w:rsid w:val="00AF1FA0"/>
    <w:rsid w:val="00AF21D1"/>
    <w:rsid w:val="00AF2374"/>
    <w:rsid w:val="00AF2B12"/>
    <w:rsid w:val="00AF3015"/>
    <w:rsid w:val="00AF317E"/>
    <w:rsid w:val="00AF35FF"/>
    <w:rsid w:val="00AF3D19"/>
    <w:rsid w:val="00AF3E34"/>
    <w:rsid w:val="00AF4BC8"/>
    <w:rsid w:val="00AF50AE"/>
    <w:rsid w:val="00AF5F1C"/>
    <w:rsid w:val="00AF6740"/>
    <w:rsid w:val="00AF6CFD"/>
    <w:rsid w:val="00AF70D3"/>
    <w:rsid w:val="00B00A03"/>
    <w:rsid w:val="00B00DD6"/>
    <w:rsid w:val="00B00F74"/>
    <w:rsid w:val="00B01341"/>
    <w:rsid w:val="00B01463"/>
    <w:rsid w:val="00B017A1"/>
    <w:rsid w:val="00B03960"/>
    <w:rsid w:val="00B03EE4"/>
    <w:rsid w:val="00B05CAC"/>
    <w:rsid w:val="00B071E3"/>
    <w:rsid w:val="00B07CBE"/>
    <w:rsid w:val="00B07F0B"/>
    <w:rsid w:val="00B1046F"/>
    <w:rsid w:val="00B11557"/>
    <w:rsid w:val="00B123DD"/>
    <w:rsid w:val="00B127D9"/>
    <w:rsid w:val="00B12CFD"/>
    <w:rsid w:val="00B13773"/>
    <w:rsid w:val="00B1452D"/>
    <w:rsid w:val="00B1499F"/>
    <w:rsid w:val="00B1500F"/>
    <w:rsid w:val="00B150A1"/>
    <w:rsid w:val="00B16FC9"/>
    <w:rsid w:val="00B17C6A"/>
    <w:rsid w:val="00B2187B"/>
    <w:rsid w:val="00B22EE9"/>
    <w:rsid w:val="00B230F7"/>
    <w:rsid w:val="00B232B8"/>
    <w:rsid w:val="00B236EE"/>
    <w:rsid w:val="00B237E4"/>
    <w:rsid w:val="00B24CD3"/>
    <w:rsid w:val="00B255DF"/>
    <w:rsid w:val="00B2625A"/>
    <w:rsid w:val="00B2661E"/>
    <w:rsid w:val="00B26D29"/>
    <w:rsid w:val="00B273CD"/>
    <w:rsid w:val="00B27F49"/>
    <w:rsid w:val="00B309B6"/>
    <w:rsid w:val="00B30D62"/>
    <w:rsid w:val="00B31D55"/>
    <w:rsid w:val="00B31DA3"/>
    <w:rsid w:val="00B3232B"/>
    <w:rsid w:val="00B32F5D"/>
    <w:rsid w:val="00B331B2"/>
    <w:rsid w:val="00B3711F"/>
    <w:rsid w:val="00B3753F"/>
    <w:rsid w:val="00B379FC"/>
    <w:rsid w:val="00B37DFD"/>
    <w:rsid w:val="00B4166E"/>
    <w:rsid w:val="00B425FB"/>
    <w:rsid w:val="00B4286A"/>
    <w:rsid w:val="00B42BC6"/>
    <w:rsid w:val="00B46769"/>
    <w:rsid w:val="00B47721"/>
    <w:rsid w:val="00B47F1B"/>
    <w:rsid w:val="00B51375"/>
    <w:rsid w:val="00B528EA"/>
    <w:rsid w:val="00B532FD"/>
    <w:rsid w:val="00B53B30"/>
    <w:rsid w:val="00B54EFE"/>
    <w:rsid w:val="00B552D5"/>
    <w:rsid w:val="00B55BEB"/>
    <w:rsid w:val="00B60800"/>
    <w:rsid w:val="00B60E8B"/>
    <w:rsid w:val="00B62128"/>
    <w:rsid w:val="00B6242E"/>
    <w:rsid w:val="00B6363E"/>
    <w:rsid w:val="00B64D66"/>
    <w:rsid w:val="00B64EA4"/>
    <w:rsid w:val="00B673CC"/>
    <w:rsid w:val="00B71156"/>
    <w:rsid w:val="00B72208"/>
    <w:rsid w:val="00B7247D"/>
    <w:rsid w:val="00B73DF8"/>
    <w:rsid w:val="00B7445D"/>
    <w:rsid w:val="00B74EB4"/>
    <w:rsid w:val="00B763EA"/>
    <w:rsid w:val="00B81592"/>
    <w:rsid w:val="00B81B6D"/>
    <w:rsid w:val="00B82C54"/>
    <w:rsid w:val="00B856A0"/>
    <w:rsid w:val="00B87308"/>
    <w:rsid w:val="00B90D4D"/>
    <w:rsid w:val="00B915C1"/>
    <w:rsid w:val="00B91AF9"/>
    <w:rsid w:val="00B91B8A"/>
    <w:rsid w:val="00B9333D"/>
    <w:rsid w:val="00B936C7"/>
    <w:rsid w:val="00B93772"/>
    <w:rsid w:val="00B937ED"/>
    <w:rsid w:val="00B938C1"/>
    <w:rsid w:val="00B93FD5"/>
    <w:rsid w:val="00B95292"/>
    <w:rsid w:val="00B955E8"/>
    <w:rsid w:val="00B96BE9"/>
    <w:rsid w:val="00B96EBA"/>
    <w:rsid w:val="00B9781B"/>
    <w:rsid w:val="00BA0FA9"/>
    <w:rsid w:val="00BA30ED"/>
    <w:rsid w:val="00BA3F94"/>
    <w:rsid w:val="00BA4DF3"/>
    <w:rsid w:val="00BA5EAE"/>
    <w:rsid w:val="00BA5EB2"/>
    <w:rsid w:val="00BA60C4"/>
    <w:rsid w:val="00BA6AF9"/>
    <w:rsid w:val="00BA6E9B"/>
    <w:rsid w:val="00BA6F24"/>
    <w:rsid w:val="00BA76D8"/>
    <w:rsid w:val="00BB20A1"/>
    <w:rsid w:val="00BB2DB1"/>
    <w:rsid w:val="00BB4553"/>
    <w:rsid w:val="00BB45F7"/>
    <w:rsid w:val="00BB4E49"/>
    <w:rsid w:val="00BB52F3"/>
    <w:rsid w:val="00BB55E9"/>
    <w:rsid w:val="00BB755E"/>
    <w:rsid w:val="00BC099D"/>
    <w:rsid w:val="00BC0E63"/>
    <w:rsid w:val="00BC1019"/>
    <w:rsid w:val="00BC1612"/>
    <w:rsid w:val="00BC249A"/>
    <w:rsid w:val="00BC36FC"/>
    <w:rsid w:val="00BC4850"/>
    <w:rsid w:val="00BC5671"/>
    <w:rsid w:val="00BC5898"/>
    <w:rsid w:val="00BC61C9"/>
    <w:rsid w:val="00BC65EE"/>
    <w:rsid w:val="00BC6C37"/>
    <w:rsid w:val="00BC7548"/>
    <w:rsid w:val="00BC7C9B"/>
    <w:rsid w:val="00BD0C0B"/>
    <w:rsid w:val="00BD13AB"/>
    <w:rsid w:val="00BD41E7"/>
    <w:rsid w:val="00BD48DD"/>
    <w:rsid w:val="00BD63DF"/>
    <w:rsid w:val="00BD65FB"/>
    <w:rsid w:val="00BD6C40"/>
    <w:rsid w:val="00BE0163"/>
    <w:rsid w:val="00BE07E5"/>
    <w:rsid w:val="00BE1E7E"/>
    <w:rsid w:val="00BE355B"/>
    <w:rsid w:val="00BE4B48"/>
    <w:rsid w:val="00BE4EF2"/>
    <w:rsid w:val="00BE50E9"/>
    <w:rsid w:val="00BE7B24"/>
    <w:rsid w:val="00BF03AE"/>
    <w:rsid w:val="00BF201A"/>
    <w:rsid w:val="00BF25FB"/>
    <w:rsid w:val="00BF346D"/>
    <w:rsid w:val="00BF4453"/>
    <w:rsid w:val="00BF51CF"/>
    <w:rsid w:val="00BF58E4"/>
    <w:rsid w:val="00BF5BDE"/>
    <w:rsid w:val="00BF5D7C"/>
    <w:rsid w:val="00BF6C0C"/>
    <w:rsid w:val="00BF6F7E"/>
    <w:rsid w:val="00BF75C0"/>
    <w:rsid w:val="00BF7985"/>
    <w:rsid w:val="00BF7CC4"/>
    <w:rsid w:val="00C0092B"/>
    <w:rsid w:val="00C01007"/>
    <w:rsid w:val="00C01A0F"/>
    <w:rsid w:val="00C02934"/>
    <w:rsid w:val="00C0295B"/>
    <w:rsid w:val="00C0351C"/>
    <w:rsid w:val="00C038AD"/>
    <w:rsid w:val="00C05379"/>
    <w:rsid w:val="00C06350"/>
    <w:rsid w:val="00C10D66"/>
    <w:rsid w:val="00C12091"/>
    <w:rsid w:val="00C12A3F"/>
    <w:rsid w:val="00C12C99"/>
    <w:rsid w:val="00C12CFA"/>
    <w:rsid w:val="00C13620"/>
    <w:rsid w:val="00C14777"/>
    <w:rsid w:val="00C14C21"/>
    <w:rsid w:val="00C17EB3"/>
    <w:rsid w:val="00C231A3"/>
    <w:rsid w:val="00C2348B"/>
    <w:rsid w:val="00C23A3B"/>
    <w:rsid w:val="00C23EC0"/>
    <w:rsid w:val="00C23F96"/>
    <w:rsid w:val="00C248CA"/>
    <w:rsid w:val="00C25268"/>
    <w:rsid w:val="00C256AC"/>
    <w:rsid w:val="00C257DB"/>
    <w:rsid w:val="00C262F5"/>
    <w:rsid w:val="00C26718"/>
    <w:rsid w:val="00C27221"/>
    <w:rsid w:val="00C30026"/>
    <w:rsid w:val="00C30037"/>
    <w:rsid w:val="00C305E9"/>
    <w:rsid w:val="00C30988"/>
    <w:rsid w:val="00C3342A"/>
    <w:rsid w:val="00C3350E"/>
    <w:rsid w:val="00C36AB6"/>
    <w:rsid w:val="00C4113C"/>
    <w:rsid w:val="00C41791"/>
    <w:rsid w:val="00C41B0D"/>
    <w:rsid w:val="00C42311"/>
    <w:rsid w:val="00C4377F"/>
    <w:rsid w:val="00C4380F"/>
    <w:rsid w:val="00C439AA"/>
    <w:rsid w:val="00C44916"/>
    <w:rsid w:val="00C44F0F"/>
    <w:rsid w:val="00C45DAD"/>
    <w:rsid w:val="00C4690E"/>
    <w:rsid w:val="00C46A57"/>
    <w:rsid w:val="00C51235"/>
    <w:rsid w:val="00C531AF"/>
    <w:rsid w:val="00C53BB7"/>
    <w:rsid w:val="00C54A40"/>
    <w:rsid w:val="00C54AEA"/>
    <w:rsid w:val="00C55091"/>
    <w:rsid w:val="00C55842"/>
    <w:rsid w:val="00C55B8C"/>
    <w:rsid w:val="00C56DB8"/>
    <w:rsid w:val="00C60C17"/>
    <w:rsid w:val="00C621CD"/>
    <w:rsid w:val="00C62A5C"/>
    <w:rsid w:val="00C62E72"/>
    <w:rsid w:val="00C639DB"/>
    <w:rsid w:val="00C6635B"/>
    <w:rsid w:val="00C6663A"/>
    <w:rsid w:val="00C66C63"/>
    <w:rsid w:val="00C66C8A"/>
    <w:rsid w:val="00C67396"/>
    <w:rsid w:val="00C6758C"/>
    <w:rsid w:val="00C7150B"/>
    <w:rsid w:val="00C71AF1"/>
    <w:rsid w:val="00C7450A"/>
    <w:rsid w:val="00C74883"/>
    <w:rsid w:val="00C748FA"/>
    <w:rsid w:val="00C759BC"/>
    <w:rsid w:val="00C75E4C"/>
    <w:rsid w:val="00C7624A"/>
    <w:rsid w:val="00C7637A"/>
    <w:rsid w:val="00C768D1"/>
    <w:rsid w:val="00C77B73"/>
    <w:rsid w:val="00C8045B"/>
    <w:rsid w:val="00C807B8"/>
    <w:rsid w:val="00C81C68"/>
    <w:rsid w:val="00C82041"/>
    <w:rsid w:val="00C82605"/>
    <w:rsid w:val="00C82966"/>
    <w:rsid w:val="00C847C0"/>
    <w:rsid w:val="00C85CB1"/>
    <w:rsid w:val="00C869D4"/>
    <w:rsid w:val="00C90168"/>
    <w:rsid w:val="00C91224"/>
    <w:rsid w:val="00C950D4"/>
    <w:rsid w:val="00C951BC"/>
    <w:rsid w:val="00C952D5"/>
    <w:rsid w:val="00C95FD1"/>
    <w:rsid w:val="00CA01C4"/>
    <w:rsid w:val="00CA0621"/>
    <w:rsid w:val="00CA16A2"/>
    <w:rsid w:val="00CA207B"/>
    <w:rsid w:val="00CA24CB"/>
    <w:rsid w:val="00CA3D0D"/>
    <w:rsid w:val="00CA54AA"/>
    <w:rsid w:val="00CA5B46"/>
    <w:rsid w:val="00CA5CFF"/>
    <w:rsid w:val="00CA6B5E"/>
    <w:rsid w:val="00CA6CAE"/>
    <w:rsid w:val="00CB1005"/>
    <w:rsid w:val="00CB13B8"/>
    <w:rsid w:val="00CB1A2B"/>
    <w:rsid w:val="00CB5F37"/>
    <w:rsid w:val="00CB7504"/>
    <w:rsid w:val="00CB7DB2"/>
    <w:rsid w:val="00CC089A"/>
    <w:rsid w:val="00CC20BD"/>
    <w:rsid w:val="00CC395E"/>
    <w:rsid w:val="00CC5851"/>
    <w:rsid w:val="00CC5A82"/>
    <w:rsid w:val="00CC6CF9"/>
    <w:rsid w:val="00CC79FC"/>
    <w:rsid w:val="00CC7D02"/>
    <w:rsid w:val="00CD1773"/>
    <w:rsid w:val="00CD2587"/>
    <w:rsid w:val="00CD2665"/>
    <w:rsid w:val="00CD2743"/>
    <w:rsid w:val="00CD2FF6"/>
    <w:rsid w:val="00CD381D"/>
    <w:rsid w:val="00CD7050"/>
    <w:rsid w:val="00CD70A9"/>
    <w:rsid w:val="00CD72AA"/>
    <w:rsid w:val="00CE13FA"/>
    <w:rsid w:val="00CE2694"/>
    <w:rsid w:val="00CE30AA"/>
    <w:rsid w:val="00CE411E"/>
    <w:rsid w:val="00CE4789"/>
    <w:rsid w:val="00CE4B27"/>
    <w:rsid w:val="00CE520B"/>
    <w:rsid w:val="00CE6C61"/>
    <w:rsid w:val="00CE77F6"/>
    <w:rsid w:val="00CE7C68"/>
    <w:rsid w:val="00CF1114"/>
    <w:rsid w:val="00CF248A"/>
    <w:rsid w:val="00CF337F"/>
    <w:rsid w:val="00CF35E5"/>
    <w:rsid w:val="00CF3FAF"/>
    <w:rsid w:val="00CF4BBF"/>
    <w:rsid w:val="00CF4CF0"/>
    <w:rsid w:val="00CF5105"/>
    <w:rsid w:val="00CF6CB7"/>
    <w:rsid w:val="00CF7312"/>
    <w:rsid w:val="00D002DC"/>
    <w:rsid w:val="00D02E54"/>
    <w:rsid w:val="00D03C6C"/>
    <w:rsid w:val="00D03F9B"/>
    <w:rsid w:val="00D05ADA"/>
    <w:rsid w:val="00D05B48"/>
    <w:rsid w:val="00D073E5"/>
    <w:rsid w:val="00D07B89"/>
    <w:rsid w:val="00D10912"/>
    <w:rsid w:val="00D10DE5"/>
    <w:rsid w:val="00D1126A"/>
    <w:rsid w:val="00D12418"/>
    <w:rsid w:val="00D12548"/>
    <w:rsid w:val="00D126C6"/>
    <w:rsid w:val="00D12956"/>
    <w:rsid w:val="00D12F44"/>
    <w:rsid w:val="00D16096"/>
    <w:rsid w:val="00D163C8"/>
    <w:rsid w:val="00D1706F"/>
    <w:rsid w:val="00D2040D"/>
    <w:rsid w:val="00D20E3F"/>
    <w:rsid w:val="00D21631"/>
    <w:rsid w:val="00D2182C"/>
    <w:rsid w:val="00D21D18"/>
    <w:rsid w:val="00D21E43"/>
    <w:rsid w:val="00D22E06"/>
    <w:rsid w:val="00D23BAC"/>
    <w:rsid w:val="00D2454F"/>
    <w:rsid w:val="00D247C0"/>
    <w:rsid w:val="00D24BA0"/>
    <w:rsid w:val="00D2546A"/>
    <w:rsid w:val="00D256C4"/>
    <w:rsid w:val="00D25A92"/>
    <w:rsid w:val="00D25D7A"/>
    <w:rsid w:val="00D263AC"/>
    <w:rsid w:val="00D26403"/>
    <w:rsid w:val="00D26DFC"/>
    <w:rsid w:val="00D3007A"/>
    <w:rsid w:val="00D3060E"/>
    <w:rsid w:val="00D31290"/>
    <w:rsid w:val="00D3310F"/>
    <w:rsid w:val="00D335F9"/>
    <w:rsid w:val="00D33AF9"/>
    <w:rsid w:val="00D33B05"/>
    <w:rsid w:val="00D33E59"/>
    <w:rsid w:val="00D34518"/>
    <w:rsid w:val="00D35562"/>
    <w:rsid w:val="00D36137"/>
    <w:rsid w:val="00D36ADA"/>
    <w:rsid w:val="00D40CF5"/>
    <w:rsid w:val="00D41319"/>
    <w:rsid w:val="00D43277"/>
    <w:rsid w:val="00D434A8"/>
    <w:rsid w:val="00D43EAB"/>
    <w:rsid w:val="00D45F83"/>
    <w:rsid w:val="00D4627A"/>
    <w:rsid w:val="00D4680A"/>
    <w:rsid w:val="00D479C1"/>
    <w:rsid w:val="00D50BDF"/>
    <w:rsid w:val="00D51647"/>
    <w:rsid w:val="00D52B96"/>
    <w:rsid w:val="00D52C83"/>
    <w:rsid w:val="00D53510"/>
    <w:rsid w:val="00D53618"/>
    <w:rsid w:val="00D5478A"/>
    <w:rsid w:val="00D5488D"/>
    <w:rsid w:val="00D600E2"/>
    <w:rsid w:val="00D62FFC"/>
    <w:rsid w:val="00D6377A"/>
    <w:rsid w:val="00D638FD"/>
    <w:rsid w:val="00D6534C"/>
    <w:rsid w:val="00D65D93"/>
    <w:rsid w:val="00D6668B"/>
    <w:rsid w:val="00D67A4C"/>
    <w:rsid w:val="00D704D3"/>
    <w:rsid w:val="00D708D1"/>
    <w:rsid w:val="00D7195E"/>
    <w:rsid w:val="00D71BBC"/>
    <w:rsid w:val="00D72044"/>
    <w:rsid w:val="00D73217"/>
    <w:rsid w:val="00D73FFA"/>
    <w:rsid w:val="00D74F98"/>
    <w:rsid w:val="00D75CB3"/>
    <w:rsid w:val="00D75F0B"/>
    <w:rsid w:val="00D762DF"/>
    <w:rsid w:val="00D76A0D"/>
    <w:rsid w:val="00D76A35"/>
    <w:rsid w:val="00D76BAE"/>
    <w:rsid w:val="00D771C1"/>
    <w:rsid w:val="00D771ED"/>
    <w:rsid w:val="00D77C98"/>
    <w:rsid w:val="00D77ECC"/>
    <w:rsid w:val="00D80384"/>
    <w:rsid w:val="00D80C54"/>
    <w:rsid w:val="00D81183"/>
    <w:rsid w:val="00D817A1"/>
    <w:rsid w:val="00D819BE"/>
    <w:rsid w:val="00D81DB8"/>
    <w:rsid w:val="00D85288"/>
    <w:rsid w:val="00D856B2"/>
    <w:rsid w:val="00D856EB"/>
    <w:rsid w:val="00D857EE"/>
    <w:rsid w:val="00D85BBE"/>
    <w:rsid w:val="00D9034A"/>
    <w:rsid w:val="00D90712"/>
    <w:rsid w:val="00D94027"/>
    <w:rsid w:val="00D94D3D"/>
    <w:rsid w:val="00D94EBE"/>
    <w:rsid w:val="00D95190"/>
    <w:rsid w:val="00D964FC"/>
    <w:rsid w:val="00D96571"/>
    <w:rsid w:val="00D96C6E"/>
    <w:rsid w:val="00D977E3"/>
    <w:rsid w:val="00D97BAB"/>
    <w:rsid w:val="00D97CA1"/>
    <w:rsid w:val="00DA0444"/>
    <w:rsid w:val="00DA2A5D"/>
    <w:rsid w:val="00DA2B44"/>
    <w:rsid w:val="00DA2D2A"/>
    <w:rsid w:val="00DA303C"/>
    <w:rsid w:val="00DA37BC"/>
    <w:rsid w:val="00DA4A3B"/>
    <w:rsid w:val="00DA4F32"/>
    <w:rsid w:val="00DA5EE8"/>
    <w:rsid w:val="00DA6CFF"/>
    <w:rsid w:val="00DA753F"/>
    <w:rsid w:val="00DA7625"/>
    <w:rsid w:val="00DA79A9"/>
    <w:rsid w:val="00DB304A"/>
    <w:rsid w:val="00DB3F83"/>
    <w:rsid w:val="00DB42D5"/>
    <w:rsid w:val="00DB4920"/>
    <w:rsid w:val="00DB4A0A"/>
    <w:rsid w:val="00DB7E60"/>
    <w:rsid w:val="00DC2EC5"/>
    <w:rsid w:val="00DC6012"/>
    <w:rsid w:val="00DC6B72"/>
    <w:rsid w:val="00DD05D8"/>
    <w:rsid w:val="00DD0732"/>
    <w:rsid w:val="00DD248B"/>
    <w:rsid w:val="00DD2F95"/>
    <w:rsid w:val="00DD32C4"/>
    <w:rsid w:val="00DD3320"/>
    <w:rsid w:val="00DD3D94"/>
    <w:rsid w:val="00DD488A"/>
    <w:rsid w:val="00DD560B"/>
    <w:rsid w:val="00DD7DC6"/>
    <w:rsid w:val="00DE2149"/>
    <w:rsid w:val="00DE2854"/>
    <w:rsid w:val="00DE29C2"/>
    <w:rsid w:val="00DE326A"/>
    <w:rsid w:val="00DE438E"/>
    <w:rsid w:val="00DE52BF"/>
    <w:rsid w:val="00DE7B40"/>
    <w:rsid w:val="00DE7D00"/>
    <w:rsid w:val="00DF09E2"/>
    <w:rsid w:val="00DF17EF"/>
    <w:rsid w:val="00DF3165"/>
    <w:rsid w:val="00DF32EF"/>
    <w:rsid w:val="00DF371E"/>
    <w:rsid w:val="00DF381C"/>
    <w:rsid w:val="00DF5CD2"/>
    <w:rsid w:val="00DF6407"/>
    <w:rsid w:val="00DF6561"/>
    <w:rsid w:val="00DF6613"/>
    <w:rsid w:val="00DF6B87"/>
    <w:rsid w:val="00DF7557"/>
    <w:rsid w:val="00E002D6"/>
    <w:rsid w:val="00E02A70"/>
    <w:rsid w:val="00E03154"/>
    <w:rsid w:val="00E039D5"/>
    <w:rsid w:val="00E03F6B"/>
    <w:rsid w:val="00E051E7"/>
    <w:rsid w:val="00E052B7"/>
    <w:rsid w:val="00E062A4"/>
    <w:rsid w:val="00E06BA3"/>
    <w:rsid w:val="00E0784E"/>
    <w:rsid w:val="00E078B4"/>
    <w:rsid w:val="00E10BCB"/>
    <w:rsid w:val="00E10C58"/>
    <w:rsid w:val="00E10E99"/>
    <w:rsid w:val="00E1132C"/>
    <w:rsid w:val="00E1138F"/>
    <w:rsid w:val="00E1232F"/>
    <w:rsid w:val="00E1284D"/>
    <w:rsid w:val="00E1334F"/>
    <w:rsid w:val="00E134A8"/>
    <w:rsid w:val="00E1356C"/>
    <w:rsid w:val="00E13D40"/>
    <w:rsid w:val="00E142DD"/>
    <w:rsid w:val="00E144AA"/>
    <w:rsid w:val="00E150E0"/>
    <w:rsid w:val="00E15B0E"/>
    <w:rsid w:val="00E15F79"/>
    <w:rsid w:val="00E1618C"/>
    <w:rsid w:val="00E20324"/>
    <w:rsid w:val="00E209D2"/>
    <w:rsid w:val="00E20A1E"/>
    <w:rsid w:val="00E219D2"/>
    <w:rsid w:val="00E237D1"/>
    <w:rsid w:val="00E24628"/>
    <w:rsid w:val="00E25C73"/>
    <w:rsid w:val="00E25ECB"/>
    <w:rsid w:val="00E26A3B"/>
    <w:rsid w:val="00E2715D"/>
    <w:rsid w:val="00E277FC"/>
    <w:rsid w:val="00E305BA"/>
    <w:rsid w:val="00E30654"/>
    <w:rsid w:val="00E30E61"/>
    <w:rsid w:val="00E31B0D"/>
    <w:rsid w:val="00E31C05"/>
    <w:rsid w:val="00E32F81"/>
    <w:rsid w:val="00E33A39"/>
    <w:rsid w:val="00E33F7B"/>
    <w:rsid w:val="00E3415C"/>
    <w:rsid w:val="00E3428C"/>
    <w:rsid w:val="00E3610F"/>
    <w:rsid w:val="00E37226"/>
    <w:rsid w:val="00E3735D"/>
    <w:rsid w:val="00E40CA8"/>
    <w:rsid w:val="00E41301"/>
    <w:rsid w:val="00E419B8"/>
    <w:rsid w:val="00E421FB"/>
    <w:rsid w:val="00E425A2"/>
    <w:rsid w:val="00E43BC9"/>
    <w:rsid w:val="00E43FF6"/>
    <w:rsid w:val="00E44CE1"/>
    <w:rsid w:val="00E44D7D"/>
    <w:rsid w:val="00E46DD1"/>
    <w:rsid w:val="00E5062E"/>
    <w:rsid w:val="00E506BB"/>
    <w:rsid w:val="00E5231C"/>
    <w:rsid w:val="00E5247D"/>
    <w:rsid w:val="00E52D70"/>
    <w:rsid w:val="00E53B66"/>
    <w:rsid w:val="00E54064"/>
    <w:rsid w:val="00E541AE"/>
    <w:rsid w:val="00E5437D"/>
    <w:rsid w:val="00E54CB2"/>
    <w:rsid w:val="00E55284"/>
    <w:rsid w:val="00E57BB4"/>
    <w:rsid w:val="00E6062E"/>
    <w:rsid w:val="00E60736"/>
    <w:rsid w:val="00E612F7"/>
    <w:rsid w:val="00E645C4"/>
    <w:rsid w:val="00E65CAE"/>
    <w:rsid w:val="00E65F49"/>
    <w:rsid w:val="00E66317"/>
    <w:rsid w:val="00E66396"/>
    <w:rsid w:val="00E6655E"/>
    <w:rsid w:val="00E66D6D"/>
    <w:rsid w:val="00E70392"/>
    <w:rsid w:val="00E7159A"/>
    <w:rsid w:val="00E71846"/>
    <w:rsid w:val="00E71EF9"/>
    <w:rsid w:val="00E727BF"/>
    <w:rsid w:val="00E7312C"/>
    <w:rsid w:val="00E73B90"/>
    <w:rsid w:val="00E73C7D"/>
    <w:rsid w:val="00E8003A"/>
    <w:rsid w:val="00E825C1"/>
    <w:rsid w:val="00E82641"/>
    <w:rsid w:val="00E842B3"/>
    <w:rsid w:val="00E844CE"/>
    <w:rsid w:val="00E86BD9"/>
    <w:rsid w:val="00E90E29"/>
    <w:rsid w:val="00E90FF5"/>
    <w:rsid w:val="00E932E0"/>
    <w:rsid w:val="00E93A90"/>
    <w:rsid w:val="00E94720"/>
    <w:rsid w:val="00E96BBC"/>
    <w:rsid w:val="00E97BAA"/>
    <w:rsid w:val="00E97DBE"/>
    <w:rsid w:val="00EA07AC"/>
    <w:rsid w:val="00EA1BE6"/>
    <w:rsid w:val="00EA229A"/>
    <w:rsid w:val="00EA2DC7"/>
    <w:rsid w:val="00EA5402"/>
    <w:rsid w:val="00EA5950"/>
    <w:rsid w:val="00EA660C"/>
    <w:rsid w:val="00EA693E"/>
    <w:rsid w:val="00EA6BF6"/>
    <w:rsid w:val="00EA6CF6"/>
    <w:rsid w:val="00EA79DA"/>
    <w:rsid w:val="00EA7B24"/>
    <w:rsid w:val="00EB1CB8"/>
    <w:rsid w:val="00EB2129"/>
    <w:rsid w:val="00EB2266"/>
    <w:rsid w:val="00EB256E"/>
    <w:rsid w:val="00EB2BC1"/>
    <w:rsid w:val="00EB44F3"/>
    <w:rsid w:val="00EB5163"/>
    <w:rsid w:val="00EC01C7"/>
    <w:rsid w:val="00EC03BD"/>
    <w:rsid w:val="00EC06E1"/>
    <w:rsid w:val="00EC0C90"/>
    <w:rsid w:val="00EC30C1"/>
    <w:rsid w:val="00EC4B7E"/>
    <w:rsid w:val="00EC4F8F"/>
    <w:rsid w:val="00EC5E60"/>
    <w:rsid w:val="00EC6A7B"/>
    <w:rsid w:val="00EC7043"/>
    <w:rsid w:val="00EC7935"/>
    <w:rsid w:val="00EC7B7E"/>
    <w:rsid w:val="00EC7C11"/>
    <w:rsid w:val="00ED07EC"/>
    <w:rsid w:val="00ED0870"/>
    <w:rsid w:val="00ED0D2D"/>
    <w:rsid w:val="00ED2E2A"/>
    <w:rsid w:val="00ED3627"/>
    <w:rsid w:val="00ED47E6"/>
    <w:rsid w:val="00ED4D3D"/>
    <w:rsid w:val="00ED5475"/>
    <w:rsid w:val="00ED5D1C"/>
    <w:rsid w:val="00ED6B63"/>
    <w:rsid w:val="00ED6BAC"/>
    <w:rsid w:val="00ED7861"/>
    <w:rsid w:val="00EE093B"/>
    <w:rsid w:val="00EE1FA3"/>
    <w:rsid w:val="00EE288F"/>
    <w:rsid w:val="00EE3968"/>
    <w:rsid w:val="00EE403C"/>
    <w:rsid w:val="00EE4DF3"/>
    <w:rsid w:val="00EE7662"/>
    <w:rsid w:val="00EE78A6"/>
    <w:rsid w:val="00EF03C6"/>
    <w:rsid w:val="00EF0C66"/>
    <w:rsid w:val="00EF0E5C"/>
    <w:rsid w:val="00EF0EC7"/>
    <w:rsid w:val="00EF2BA0"/>
    <w:rsid w:val="00EF2F36"/>
    <w:rsid w:val="00EF3E4E"/>
    <w:rsid w:val="00EF6D0B"/>
    <w:rsid w:val="00F00265"/>
    <w:rsid w:val="00F0186C"/>
    <w:rsid w:val="00F0241D"/>
    <w:rsid w:val="00F024CC"/>
    <w:rsid w:val="00F02534"/>
    <w:rsid w:val="00F05BBE"/>
    <w:rsid w:val="00F061E5"/>
    <w:rsid w:val="00F06D0B"/>
    <w:rsid w:val="00F0728A"/>
    <w:rsid w:val="00F07413"/>
    <w:rsid w:val="00F07551"/>
    <w:rsid w:val="00F1032C"/>
    <w:rsid w:val="00F10D1D"/>
    <w:rsid w:val="00F10FD5"/>
    <w:rsid w:val="00F13BA3"/>
    <w:rsid w:val="00F13CC8"/>
    <w:rsid w:val="00F141CD"/>
    <w:rsid w:val="00F14695"/>
    <w:rsid w:val="00F16D85"/>
    <w:rsid w:val="00F17B36"/>
    <w:rsid w:val="00F2185C"/>
    <w:rsid w:val="00F22A4D"/>
    <w:rsid w:val="00F23C75"/>
    <w:rsid w:val="00F24374"/>
    <w:rsid w:val="00F24E57"/>
    <w:rsid w:val="00F2602A"/>
    <w:rsid w:val="00F2715F"/>
    <w:rsid w:val="00F30232"/>
    <w:rsid w:val="00F31071"/>
    <w:rsid w:val="00F32903"/>
    <w:rsid w:val="00F333B3"/>
    <w:rsid w:val="00F33DC6"/>
    <w:rsid w:val="00F346B9"/>
    <w:rsid w:val="00F34C81"/>
    <w:rsid w:val="00F34FEC"/>
    <w:rsid w:val="00F353A2"/>
    <w:rsid w:val="00F35C9D"/>
    <w:rsid w:val="00F36ACF"/>
    <w:rsid w:val="00F36EC8"/>
    <w:rsid w:val="00F37264"/>
    <w:rsid w:val="00F3794B"/>
    <w:rsid w:val="00F4099A"/>
    <w:rsid w:val="00F40F12"/>
    <w:rsid w:val="00F419D0"/>
    <w:rsid w:val="00F41AE2"/>
    <w:rsid w:val="00F424BA"/>
    <w:rsid w:val="00F42FE2"/>
    <w:rsid w:val="00F43A41"/>
    <w:rsid w:val="00F4436D"/>
    <w:rsid w:val="00F44ADB"/>
    <w:rsid w:val="00F4613D"/>
    <w:rsid w:val="00F4731D"/>
    <w:rsid w:val="00F4758D"/>
    <w:rsid w:val="00F50A8F"/>
    <w:rsid w:val="00F50F86"/>
    <w:rsid w:val="00F51851"/>
    <w:rsid w:val="00F51E39"/>
    <w:rsid w:val="00F5214B"/>
    <w:rsid w:val="00F5365E"/>
    <w:rsid w:val="00F543FA"/>
    <w:rsid w:val="00F56015"/>
    <w:rsid w:val="00F56048"/>
    <w:rsid w:val="00F5660C"/>
    <w:rsid w:val="00F578E1"/>
    <w:rsid w:val="00F61BBB"/>
    <w:rsid w:val="00F61DBB"/>
    <w:rsid w:val="00F63FE9"/>
    <w:rsid w:val="00F6520E"/>
    <w:rsid w:val="00F65FDF"/>
    <w:rsid w:val="00F666EB"/>
    <w:rsid w:val="00F66829"/>
    <w:rsid w:val="00F677E3"/>
    <w:rsid w:val="00F67A43"/>
    <w:rsid w:val="00F702D5"/>
    <w:rsid w:val="00F70822"/>
    <w:rsid w:val="00F720A6"/>
    <w:rsid w:val="00F726CD"/>
    <w:rsid w:val="00F730BF"/>
    <w:rsid w:val="00F7344F"/>
    <w:rsid w:val="00F75C23"/>
    <w:rsid w:val="00F75D27"/>
    <w:rsid w:val="00F761A6"/>
    <w:rsid w:val="00F768CC"/>
    <w:rsid w:val="00F76E6E"/>
    <w:rsid w:val="00F771F6"/>
    <w:rsid w:val="00F777FC"/>
    <w:rsid w:val="00F779AA"/>
    <w:rsid w:val="00F81076"/>
    <w:rsid w:val="00F82397"/>
    <w:rsid w:val="00F84531"/>
    <w:rsid w:val="00F846E0"/>
    <w:rsid w:val="00F848AD"/>
    <w:rsid w:val="00F85AA7"/>
    <w:rsid w:val="00F871CF"/>
    <w:rsid w:val="00F872C5"/>
    <w:rsid w:val="00F87DF0"/>
    <w:rsid w:val="00F91C11"/>
    <w:rsid w:val="00F91D74"/>
    <w:rsid w:val="00F92118"/>
    <w:rsid w:val="00F9309F"/>
    <w:rsid w:val="00F93190"/>
    <w:rsid w:val="00F935BD"/>
    <w:rsid w:val="00F93F0D"/>
    <w:rsid w:val="00F944FF"/>
    <w:rsid w:val="00F94AF6"/>
    <w:rsid w:val="00F96625"/>
    <w:rsid w:val="00F96670"/>
    <w:rsid w:val="00F978A9"/>
    <w:rsid w:val="00FA03BD"/>
    <w:rsid w:val="00FA0820"/>
    <w:rsid w:val="00FA2F35"/>
    <w:rsid w:val="00FA363C"/>
    <w:rsid w:val="00FA463B"/>
    <w:rsid w:val="00FA4814"/>
    <w:rsid w:val="00FA4F30"/>
    <w:rsid w:val="00FA54FF"/>
    <w:rsid w:val="00FA59D0"/>
    <w:rsid w:val="00FA6104"/>
    <w:rsid w:val="00FB18DC"/>
    <w:rsid w:val="00FB199E"/>
    <w:rsid w:val="00FB325F"/>
    <w:rsid w:val="00FB3C60"/>
    <w:rsid w:val="00FB56C0"/>
    <w:rsid w:val="00FB5E34"/>
    <w:rsid w:val="00FB6CEF"/>
    <w:rsid w:val="00FC1876"/>
    <w:rsid w:val="00FC1B55"/>
    <w:rsid w:val="00FC2A1B"/>
    <w:rsid w:val="00FC3055"/>
    <w:rsid w:val="00FC33FC"/>
    <w:rsid w:val="00FC41FE"/>
    <w:rsid w:val="00FC425D"/>
    <w:rsid w:val="00FC53DF"/>
    <w:rsid w:val="00FC548A"/>
    <w:rsid w:val="00FC5F75"/>
    <w:rsid w:val="00FC6CD7"/>
    <w:rsid w:val="00FC6EF3"/>
    <w:rsid w:val="00FC7DB6"/>
    <w:rsid w:val="00FD0173"/>
    <w:rsid w:val="00FD0B0E"/>
    <w:rsid w:val="00FD0D1A"/>
    <w:rsid w:val="00FD1A32"/>
    <w:rsid w:val="00FD1B67"/>
    <w:rsid w:val="00FD4052"/>
    <w:rsid w:val="00FD496E"/>
    <w:rsid w:val="00FD548F"/>
    <w:rsid w:val="00FD57B9"/>
    <w:rsid w:val="00FD61C9"/>
    <w:rsid w:val="00FD756F"/>
    <w:rsid w:val="00FE0634"/>
    <w:rsid w:val="00FE35D2"/>
    <w:rsid w:val="00FE386B"/>
    <w:rsid w:val="00FE443D"/>
    <w:rsid w:val="00FE5424"/>
    <w:rsid w:val="00FE694C"/>
    <w:rsid w:val="00FE7A60"/>
    <w:rsid w:val="00FF00BD"/>
    <w:rsid w:val="00FF110E"/>
    <w:rsid w:val="00FF1C5F"/>
    <w:rsid w:val="00FF2443"/>
    <w:rsid w:val="00FF29A2"/>
    <w:rsid w:val="00FF3C2C"/>
    <w:rsid w:val="00FF409B"/>
    <w:rsid w:val="00FF40BD"/>
    <w:rsid w:val="00FF4518"/>
    <w:rsid w:val="00FF4603"/>
    <w:rsid w:val="00FF4880"/>
    <w:rsid w:val="00FF6CA9"/>
    <w:rsid w:val="00FF6ED8"/>
    <w:rsid w:val="00FF722C"/>
    <w:rsid w:val="30F74CB8"/>
    <w:rsid w:val="34BADB5B"/>
    <w:rsid w:val="38CF6921"/>
    <w:rsid w:val="3E059438"/>
    <w:rsid w:val="412B824E"/>
    <w:rsid w:val="4495FAF9"/>
    <w:rsid w:val="46A50149"/>
    <w:rsid w:val="5963C777"/>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C7147F"/>
  <w15:docId w15:val="{C89ED64A-99F6-4935-AC55-9E7228073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5"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ACA"/>
    <w:pPr>
      <w:spacing w:after="160" w:line="278" w:lineRule="auto"/>
    </w:pPr>
    <w:rPr>
      <w:kern w:val="2"/>
      <w:sz w:val="24"/>
      <w:szCs w:val="24"/>
      <w:lang w:val="en-GB"/>
      <w14:ligatures w14:val="standardContextual"/>
    </w:rPr>
  </w:style>
  <w:style w:type="paragraph" w:styleId="Heading1">
    <w:name w:val="heading 1"/>
    <w:basedOn w:val="Normal"/>
    <w:next w:val="BodyText"/>
    <w:link w:val="Heading1Char"/>
    <w:qFormat/>
    <w:rsid w:val="00AE2241"/>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qFormat/>
    <w:rsid w:val="00AE2241"/>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uiPriority w:val="4"/>
    <w:qFormat/>
    <w:rsid w:val="00AE2241"/>
    <w:pPr>
      <w:keepNext/>
      <w:keepLines/>
      <w:spacing w:before="240"/>
      <w:outlineLvl w:val="2"/>
    </w:pPr>
    <w:rPr>
      <w:rFonts w:eastAsiaTheme="majorEastAsia" w:cstheme="majorBidi"/>
      <w:color w:val="3F0731" w:themeColor="text2"/>
    </w:rPr>
  </w:style>
  <w:style w:type="paragraph" w:styleId="Heading4">
    <w:name w:val="heading 4"/>
    <w:aliases w:val="Heading 4 (table &amp; chart)"/>
    <w:basedOn w:val="Normal"/>
    <w:next w:val="Normal"/>
    <w:link w:val="Heading4Char"/>
    <w:uiPriority w:val="23"/>
    <w:semiHidden/>
    <w:qFormat/>
    <w:rsid w:val="00AE2241"/>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AE2241"/>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AE2241"/>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AE2241"/>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AE2241"/>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E2241"/>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rsid w:val="00A93A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3ACA"/>
  </w:style>
  <w:style w:type="paragraph" w:customStyle="1" w:styleId="TableColumnHeading">
    <w:name w:val="Table Column Heading"/>
    <w:basedOn w:val="BodyText"/>
    <w:uiPriority w:val="7"/>
    <w:qFormat/>
    <w:rsid w:val="00AE2241"/>
    <w:pPr>
      <w:spacing w:before="60" w:after="60"/>
    </w:pPr>
    <w:rPr>
      <w:b/>
      <w:bCs/>
    </w:rPr>
  </w:style>
  <w:style w:type="paragraph" w:styleId="Footer">
    <w:name w:val="footer"/>
    <w:basedOn w:val="Normal"/>
    <w:link w:val="FooterChar"/>
    <w:uiPriority w:val="99"/>
    <w:unhideWhenUsed/>
    <w:rsid w:val="00B27F49"/>
    <w:pPr>
      <w:tabs>
        <w:tab w:val="center" w:pos="4513"/>
        <w:tab w:val="right" w:pos="9026"/>
      </w:tabs>
      <w:spacing w:after="0"/>
    </w:pPr>
  </w:style>
  <w:style w:type="character" w:customStyle="1" w:styleId="FooterChar">
    <w:name w:val="Footer Char"/>
    <w:basedOn w:val="DefaultParagraphFont"/>
    <w:link w:val="Footer"/>
    <w:uiPriority w:val="99"/>
    <w:rsid w:val="00B27F49"/>
    <w:rPr>
      <w:kern w:val="2"/>
      <w:sz w:val="22"/>
      <w:szCs w:val="22"/>
      <w:lang w:val="en-GB"/>
      <w14:ligatures w14:val="standardContextual"/>
    </w:rPr>
  </w:style>
  <w:style w:type="paragraph" w:customStyle="1" w:styleId="TableColumnHeadingRight">
    <w:name w:val="Table Column Heading Right"/>
    <w:basedOn w:val="TableColumnHeading"/>
    <w:uiPriority w:val="7"/>
    <w:qFormat/>
    <w:rsid w:val="00AE2241"/>
    <w:pPr>
      <w:jc w:val="right"/>
    </w:pPr>
  </w:style>
  <w:style w:type="paragraph" w:customStyle="1" w:styleId="PageTitle">
    <w:name w:val="Page Title"/>
    <w:basedOn w:val="Normal"/>
    <w:next w:val="BodyText"/>
    <w:uiPriority w:val="3"/>
    <w:qFormat/>
    <w:rsid w:val="00AE2241"/>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AE2241"/>
    <w:pPr>
      <w:jc w:val="right"/>
    </w:pPr>
  </w:style>
  <w:style w:type="character" w:customStyle="1" w:styleId="Bold">
    <w:name w:val="Bold"/>
    <w:basedOn w:val="DefaultParagraphFont"/>
    <w:uiPriority w:val="2"/>
    <w:qFormat/>
    <w:rsid w:val="00AE2241"/>
    <w:rPr>
      <w:rFonts w:ascii="Poppins" w:hAnsi="Poppins"/>
      <w:b/>
      <w:i w:val="0"/>
      <w:color w:val="000000" w:themeColor="text1"/>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AE2241"/>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AE2241"/>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E2241"/>
    <w:pPr>
      <w:spacing w:before="60" w:after="60"/>
    </w:pPr>
    <w:rPr>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qFormat/>
    <w:rsid w:val="00AE2241"/>
    <w:rPr>
      <w:rFonts w:ascii="Poppins" w:hAnsi="Poppins"/>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AE2241"/>
    <w:rPr>
      <w:rFonts w:ascii="Poppins" w:eastAsiaTheme="majorEastAsia" w:hAnsi="Poppins" w:cstheme="majorBidi"/>
      <w:color w:val="3F0731" w:themeColor="text2"/>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E2241"/>
    <w:rPr>
      <w:rFonts w:asciiTheme="majorHAnsi" w:eastAsiaTheme="majorEastAsia" w:hAnsiTheme="majorHAnsi" w:cstheme="majorBidi"/>
      <w:color w:val="2F0524" w:themeColor="accent1" w:themeShade="BF"/>
      <w:kern w:val="3"/>
      <w:sz w:val="22"/>
      <w:szCs w:val="22"/>
      <w:lang w:val="en-GB"/>
    </w:rPr>
  </w:style>
  <w:style w:type="paragraph" w:customStyle="1" w:styleId="Bullet1">
    <w:name w:val="Bullet 1"/>
    <w:basedOn w:val="BodyText"/>
    <w:uiPriority w:val="1"/>
    <w:qFormat/>
    <w:rsid w:val="00AE2241"/>
    <w:pPr>
      <w:numPr>
        <w:numId w:val="14"/>
      </w:numPr>
    </w:pPr>
  </w:style>
  <w:style w:type="paragraph" w:customStyle="1" w:styleId="Bullet2">
    <w:name w:val="Bullet 2"/>
    <w:basedOn w:val="BodyText"/>
    <w:uiPriority w:val="1"/>
    <w:qFormat/>
    <w:rsid w:val="00AE2241"/>
    <w:pPr>
      <w:numPr>
        <w:numId w:val="15"/>
      </w:numPr>
    </w:pPr>
  </w:style>
  <w:style w:type="paragraph" w:customStyle="1" w:styleId="Bullet3">
    <w:name w:val="Bullet 3"/>
    <w:basedOn w:val="BodyText"/>
    <w:uiPriority w:val="1"/>
    <w:qFormat/>
    <w:rsid w:val="00AE2241"/>
    <w:pPr>
      <w:numPr>
        <w:numId w:val="16"/>
      </w:numPr>
    </w:pPr>
  </w:style>
  <w:style w:type="paragraph" w:customStyle="1" w:styleId="NumberedBullet1">
    <w:name w:val="Numbered Bullet 1"/>
    <w:basedOn w:val="BodyText"/>
    <w:uiPriority w:val="5"/>
    <w:qFormat/>
    <w:rsid w:val="00AE2241"/>
    <w:pPr>
      <w:numPr>
        <w:numId w:val="17"/>
      </w:numPr>
      <w:spacing w:before="60" w:after="60"/>
    </w:pPr>
  </w:style>
  <w:style w:type="paragraph" w:customStyle="1" w:styleId="NumberedBullet2">
    <w:name w:val="Numbered Bullet 2"/>
    <w:basedOn w:val="BodyText"/>
    <w:uiPriority w:val="5"/>
    <w:qFormat/>
    <w:rsid w:val="00AE2241"/>
    <w:pPr>
      <w:numPr>
        <w:ilvl w:val="1"/>
        <w:numId w:val="17"/>
      </w:numPr>
      <w:tabs>
        <w:tab w:val="left" w:pos="709"/>
      </w:tabs>
    </w:pPr>
  </w:style>
  <w:style w:type="paragraph" w:customStyle="1" w:styleId="NumberedBullet3">
    <w:name w:val="Numbered Bullet 3"/>
    <w:basedOn w:val="BodyText"/>
    <w:uiPriority w:val="5"/>
    <w:qFormat/>
    <w:rsid w:val="00AE2241"/>
    <w:pPr>
      <w:numPr>
        <w:ilvl w:val="2"/>
        <w:numId w:val="17"/>
      </w:numPr>
      <w:tabs>
        <w:tab w:val="left" w:pos="1276"/>
      </w:tabs>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E2241"/>
    <w:pPr>
      <w:ind w:left="284"/>
    </w:pPr>
  </w:style>
  <w:style w:type="paragraph" w:customStyle="1" w:styleId="Indent2">
    <w:name w:val="Indent 2"/>
    <w:basedOn w:val="BodyText"/>
    <w:uiPriority w:val="6"/>
    <w:semiHidden/>
    <w:unhideWhenUsed/>
    <w:qFormat/>
    <w:rsid w:val="00AE2241"/>
    <w:pPr>
      <w:ind w:left="567"/>
    </w:pPr>
  </w:style>
  <w:style w:type="paragraph" w:customStyle="1" w:styleId="Indent3">
    <w:name w:val="Indent 3"/>
    <w:basedOn w:val="BodyText"/>
    <w:uiPriority w:val="6"/>
    <w:semiHidden/>
    <w:unhideWhenUsed/>
    <w:qFormat/>
    <w:rsid w:val="00AE2241"/>
    <w:pPr>
      <w:ind w:left="851"/>
    </w:pPr>
  </w:style>
  <w:style w:type="paragraph" w:customStyle="1" w:styleId="ShadedHeading">
    <w:name w:val="Shaded Heading"/>
    <w:basedOn w:val="BodyText"/>
    <w:next w:val="ShadedBody"/>
    <w:uiPriority w:val="10"/>
    <w:rsid w:val="00AB5A91"/>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E2241"/>
    <w:rPr>
      <w:rFonts w:asciiTheme="majorHAnsi" w:eastAsiaTheme="majorEastAsia" w:hAnsiTheme="majorHAnsi" w:cstheme="majorBidi"/>
      <w:b/>
      <w:iCs/>
      <w:color w:val="7A3864" w:themeColor="accent2"/>
      <w:kern w:val="3"/>
      <w:sz w:val="22"/>
      <w:szCs w:val="22"/>
      <w:lang w:val="en-GB"/>
    </w:rPr>
  </w:style>
  <w:style w:type="character" w:customStyle="1" w:styleId="Heading6Char">
    <w:name w:val="Heading 6 Char"/>
    <w:basedOn w:val="DefaultParagraphFont"/>
    <w:link w:val="Heading6"/>
    <w:uiPriority w:val="23"/>
    <w:semiHidden/>
    <w:rsid w:val="00AE2241"/>
    <w:rPr>
      <w:rFonts w:asciiTheme="majorHAnsi" w:eastAsiaTheme="majorEastAsia" w:hAnsiTheme="majorHAnsi" w:cstheme="majorBidi"/>
      <w:color w:val="1F0318" w:themeColor="accent1" w:themeShade="7F"/>
      <w:kern w:val="3"/>
      <w:sz w:val="22"/>
      <w:szCs w:val="22"/>
      <w:lang w:val="en-GB"/>
    </w:rPr>
  </w:style>
  <w:style w:type="character" w:customStyle="1" w:styleId="Heading7Char">
    <w:name w:val="Heading 7 Char"/>
    <w:basedOn w:val="DefaultParagraphFont"/>
    <w:link w:val="Heading7"/>
    <w:uiPriority w:val="23"/>
    <w:semiHidden/>
    <w:rsid w:val="00AE2241"/>
    <w:rPr>
      <w:rFonts w:asciiTheme="majorHAnsi" w:eastAsiaTheme="majorEastAsia" w:hAnsiTheme="majorHAnsi" w:cstheme="majorBidi"/>
      <w:i/>
      <w:iCs/>
      <w:color w:val="1F0318" w:themeColor="accent1" w:themeShade="7F"/>
      <w:kern w:val="3"/>
      <w:sz w:val="22"/>
      <w:szCs w:val="22"/>
      <w:lang w:val="en-GB"/>
    </w:rPr>
  </w:style>
  <w:style w:type="character" w:customStyle="1" w:styleId="Heading8Char">
    <w:name w:val="Heading 8 Char"/>
    <w:basedOn w:val="DefaultParagraphFont"/>
    <w:link w:val="Heading8"/>
    <w:uiPriority w:val="23"/>
    <w:semiHidden/>
    <w:rsid w:val="00AE2241"/>
    <w:rPr>
      <w:rFonts w:asciiTheme="majorHAnsi" w:eastAsiaTheme="majorEastAsia" w:hAnsiTheme="majorHAnsi" w:cstheme="majorBidi"/>
      <w:color w:val="272727" w:themeColor="text1" w:themeTint="D8"/>
      <w:kern w:val="3"/>
      <w:sz w:val="21"/>
      <w:szCs w:val="21"/>
      <w:lang w:val="en-GB"/>
    </w:rPr>
  </w:style>
  <w:style w:type="character" w:customStyle="1" w:styleId="Heading9Char">
    <w:name w:val="Heading 9 Char"/>
    <w:basedOn w:val="DefaultParagraphFont"/>
    <w:link w:val="Heading9"/>
    <w:uiPriority w:val="23"/>
    <w:semiHidden/>
    <w:rsid w:val="00AE2241"/>
    <w:rPr>
      <w:rFonts w:asciiTheme="majorHAnsi" w:eastAsiaTheme="majorEastAsia" w:hAnsiTheme="majorHAnsi" w:cstheme="majorBidi"/>
      <w:i/>
      <w:iCs/>
      <w:color w:val="272727" w:themeColor="text1" w:themeTint="D8"/>
      <w:kern w:val="3"/>
      <w:sz w:val="21"/>
      <w:szCs w:val="21"/>
      <w:lang w:val="en-GB"/>
    </w:rPr>
  </w:style>
  <w:style w:type="paragraph" w:styleId="Title">
    <w:name w:val="Title"/>
    <w:basedOn w:val="Normal"/>
    <w:next w:val="Normal"/>
    <w:link w:val="TitleChar"/>
    <w:uiPriority w:val="25"/>
    <w:qFormat/>
    <w:rsid w:val="00AE2241"/>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AE2241"/>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AE2241"/>
    <w:rPr>
      <w:b/>
    </w:rPr>
  </w:style>
  <w:style w:type="character" w:customStyle="1" w:styleId="HighlightAccent4">
    <w:name w:val="Highlight Accent 4"/>
    <w:basedOn w:val="DefaultParagraphFont"/>
    <w:uiPriority w:val="9"/>
    <w:qFormat/>
    <w:rsid w:val="00AE2241"/>
    <w:rPr>
      <w:rFonts w:ascii="Poppins" w:hAnsi="Poppins"/>
      <w:color w:val="000000" w:themeColor="text1"/>
      <w:bdr w:val="none" w:sz="0" w:space="0" w:color="auto"/>
      <w:shd w:val="clear" w:color="auto" w:fill="AEE07E" w:themeFill="accent5" w:themeFillTint="66"/>
    </w:rPr>
  </w:style>
  <w:style w:type="character" w:customStyle="1" w:styleId="HighlightAccent1">
    <w:name w:val="Highlight Accent 1"/>
    <w:basedOn w:val="DefaultParagraphFont"/>
    <w:uiPriority w:val="9"/>
    <w:qFormat/>
    <w:rsid w:val="00AE2241"/>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AE2241"/>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5"/>
    <w:qFormat/>
    <w:rsid w:val="00AE2241"/>
    <w:pPr>
      <w:ind w:left="720"/>
      <w:contextualSpacing/>
    </w:pPr>
  </w:style>
  <w:style w:type="paragraph" w:customStyle="1" w:styleId="Heading1Numbered">
    <w:name w:val="Heading 1 Numbered"/>
    <w:basedOn w:val="Heading1"/>
    <w:next w:val="BodyText"/>
    <w:uiPriority w:val="4"/>
    <w:qFormat/>
    <w:rsid w:val="00AE2241"/>
    <w:pPr>
      <w:numPr>
        <w:numId w:val="18"/>
      </w:numPr>
    </w:pPr>
  </w:style>
  <w:style w:type="character" w:customStyle="1" w:styleId="HighlightAccent2">
    <w:name w:val="Highlight Accent 2"/>
    <w:basedOn w:val="DefaultParagraphFont"/>
    <w:uiPriority w:val="9"/>
    <w:qFormat/>
    <w:rsid w:val="00AE2241"/>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5B68E0"/>
    <w:pPr>
      <w:tabs>
        <w:tab w:val="right" w:leader="dot" w:pos="10194"/>
      </w:tabs>
      <w:spacing w:before="60" w:after="60"/>
    </w:pPr>
    <w:rPr>
      <w:rFonts w:ascii="Poppins" w:hAnsi="Poppins" w:cs="Poppins"/>
      <w:b/>
      <w:bCs/>
      <w:noProof/>
      <w:color w:val="000000" w:themeColor="text1"/>
    </w:rPr>
  </w:style>
  <w:style w:type="paragraph" w:styleId="TOC1">
    <w:name w:val="toc 1"/>
    <w:basedOn w:val="Normal"/>
    <w:next w:val="Normal"/>
    <w:autoRedefine/>
    <w:uiPriority w:val="39"/>
    <w:rsid w:val="00B27F49"/>
    <w:pPr>
      <w:tabs>
        <w:tab w:val="right" w:leader="dot" w:pos="10194"/>
      </w:tabs>
      <w:spacing w:before="240" w:after="0"/>
    </w:pPr>
    <w:rPr>
      <w:rFonts w:cstheme="minorHAnsi"/>
      <w:noProof/>
      <w:color w:val="3F0731" w:themeColor="text2"/>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AE2241"/>
    <w:rPr>
      <w:color w:val="3F0731" w:themeColor="text2"/>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AE2241"/>
    <w:rPr>
      <w:rFonts w:ascii="Poppins" w:hAnsi="Poppins"/>
      <w:color w:val="000000" w:themeColor="text1"/>
      <w:lang w:val="en-GB"/>
    </w:rPr>
  </w:style>
  <w:style w:type="character" w:customStyle="1" w:styleId="BodyTextChar">
    <w:name w:val="Body Text Char"/>
    <w:basedOn w:val="DefaultParagraphFont"/>
    <w:link w:val="BodyText"/>
    <w:rsid w:val="00AE2241"/>
    <w:rPr>
      <w:rFonts w:ascii="Poppins" w:hAnsi="Poppins"/>
      <w:color w:val="000000" w:themeColor="text1"/>
      <w:lang w:val="en-GB"/>
    </w:rPr>
  </w:style>
  <w:style w:type="numbering" w:customStyle="1" w:styleId="Bullets">
    <w:name w:val="Bullets"/>
    <w:uiPriority w:val="99"/>
    <w:rsid w:val="00AB5A91"/>
    <w:pPr>
      <w:numPr>
        <w:numId w:val="12"/>
      </w:numPr>
    </w:pPr>
  </w:style>
  <w:style w:type="paragraph" w:customStyle="1" w:styleId="TableTitle">
    <w:name w:val="Table Title"/>
    <w:basedOn w:val="BodyText"/>
    <w:next w:val="BodyText"/>
    <w:uiPriority w:val="6"/>
    <w:qFormat/>
    <w:rsid w:val="00AE2241"/>
    <w:pPr>
      <w:keepNext/>
      <w:keepLines/>
      <w:spacing w:before="120"/>
    </w:pPr>
    <w:rPr>
      <w:rFonts w:cstheme="majorHAnsi"/>
      <w:b/>
      <w:color w:val="3F0731" w:themeColor="text2"/>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AB5A91"/>
    <w:rPr>
      <w:noProof/>
      <w:color w:val="6E6E6E"/>
      <w:kern w:val="2"/>
      <w:sz w:val="18"/>
      <w:szCs w:val="22"/>
      <w:lang w:val="en-GB"/>
      <w14:ligatures w14:val="standardContextual"/>
    </w:rPr>
  </w:style>
  <w:style w:type="character" w:customStyle="1" w:styleId="DateofpapersChar">
    <w:name w:val="Date of papers Char"/>
    <w:basedOn w:val="FooterChar"/>
    <w:link w:val="Dateofpapers"/>
    <w:uiPriority w:val="99"/>
    <w:rsid w:val="00AB5A91"/>
    <w:rPr>
      <w:noProof/>
      <w:color w:val="6E6E6E"/>
      <w:kern w:val="2"/>
      <w:sz w:val="18"/>
      <w:szCs w:val="22"/>
      <w:lang w:val="en-GB"/>
      <w14:ligatures w14:val="standardContextual"/>
    </w:rPr>
  </w:style>
  <w:style w:type="paragraph" w:customStyle="1" w:styleId="CVName">
    <w:name w:val="CV Name"/>
    <w:basedOn w:val="BodyText"/>
    <w:uiPriority w:val="99"/>
    <w:qFormat/>
    <w:rsid w:val="00AE2241"/>
    <w:pPr>
      <w:spacing w:before="60" w:after="0"/>
    </w:pPr>
    <w:rPr>
      <w:b/>
      <w:bCs/>
      <w:color w:val="3F0731" w:themeColor="text2"/>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E2241"/>
    <w:pPr>
      <w:spacing w:after="0"/>
    </w:pPr>
  </w:style>
  <w:style w:type="paragraph" w:customStyle="1" w:styleId="Backcoverdisclaimer">
    <w:name w:val="Back cover disclaimer"/>
    <w:basedOn w:val="Footer"/>
    <w:uiPriority w:val="99"/>
    <w:qFormat/>
    <w:rsid w:val="00AE2241"/>
    <w:pPr>
      <w:tabs>
        <w:tab w:val="clear" w:pos="4513"/>
        <w:tab w:val="clear" w:pos="9026"/>
      </w:tabs>
      <w:spacing w:after="160"/>
    </w:pPr>
    <w:rPr>
      <w:noProof/>
      <w:sz w:val="18"/>
    </w:rPr>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E224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3F87AA"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AE2241"/>
    <w:pPr>
      <w:framePr w:w="10038" w:wrap="notBeside" w:vAnchor="page" w:hAnchor="page" w:x="397" w:y="14053" w:anchorLock="1"/>
      <w:numPr>
        <w:numId w:val="19"/>
      </w:numPr>
      <w:spacing w:after="120" w:line="240" w:lineRule="auto"/>
      <w:ind w:right="306"/>
    </w:pPr>
    <w:rPr>
      <w:b/>
      <w:bCs/>
      <w:color w:val="000000" w:themeColor="text1"/>
      <w:kern w:val="0"/>
      <w:sz w:val="56"/>
    </w:rPr>
  </w:style>
  <w:style w:type="paragraph" w:customStyle="1" w:styleId="SectionSubtitle">
    <w:name w:val="Section Subtitle"/>
    <w:basedOn w:val="Normal"/>
    <w:uiPriority w:val="99"/>
    <w:qFormat/>
    <w:rsid w:val="00AE2241"/>
    <w:pPr>
      <w:framePr w:w="10038" w:wrap="notBeside" w:vAnchor="page" w:hAnchor="page" w:x="1140" w:y="13885" w:anchorLock="1"/>
      <w:spacing w:after="120" w:line="240" w:lineRule="auto"/>
      <w:ind w:left="1080" w:right="306" w:hanging="720"/>
    </w:pPr>
    <w:rPr>
      <w:color w:val="636462"/>
      <w:kern w:val="0"/>
      <w:sz w:val="52"/>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E224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E224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AE2241"/>
    <w:pPr>
      <w:tabs>
        <w:tab w:val="center" w:pos="1438"/>
      </w:tabs>
      <w:spacing w:before="60" w:after="0"/>
    </w:pPr>
    <w:rPr>
      <w:color w:val="3F0731" w:themeColor="text2"/>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B27F49"/>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AE22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AE2241"/>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E2241"/>
    <w:pPr>
      <w:spacing w:before="160"/>
      <w:jc w:val="center"/>
    </w:pPr>
    <w:rPr>
      <w:i/>
      <w:iCs/>
      <w:color w:val="404040" w:themeColor="text1" w:themeTint="BF"/>
    </w:rPr>
  </w:style>
  <w:style w:type="character" w:customStyle="1" w:styleId="QuoteChar">
    <w:name w:val="Quote Char"/>
    <w:basedOn w:val="DefaultParagraphFont"/>
    <w:link w:val="Quote"/>
    <w:uiPriority w:val="30"/>
    <w:rsid w:val="00AE2241"/>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E2241"/>
    <w:rPr>
      <w:i/>
      <w:iCs/>
      <w:color w:val="2F0524" w:themeColor="accent1" w:themeShade="BF"/>
    </w:rPr>
  </w:style>
  <w:style w:type="character" w:styleId="IntenseReference">
    <w:name w:val="Intense Reference"/>
    <w:basedOn w:val="DefaultParagraphFont"/>
    <w:uiPriority w:val="33"/>
    <w:qFormat/>
    <w:rsid w:val="00AE2241"/>
    <w:rPr>
      <w:b/>
      <w:bCs/>
      <w:smallCaps/>
      <w:color w:val="2F0524" w:themeColor="accent1" w:themeShade="BF"/>
      <w:spacing w:val="5"/>
    </w:rPr>
  </w:style>
  <w:style w:type="paragraph" w:styleId="Caption">
    <w:name w:val="caption"/>
    <w:basedOn w:val="Normal"/>
    <w:next w:val="Normal"/>
    <w:uiPriority w:val="36"/>
    <w:semiHidden/>
    <w:qFormat/>
    <w:rsid w:val="00AE2241"/>
    <w:pPr>
      <w:spacing w:after="200" w:line="240" w:lineRule="auto"/>
    </w:pPr>
    <w:rPr>
      <w:i/>
      <w:iCs/>
      <w:color w:val="3F0731" w:themeColor="text2"/>
      <w:sz w:val="18"/>
      <w:szCs w:val="18"/>
    </w:rPr>
  </w:style>
  <w:style w:type="character" w:styleId="Strong">
    <w:name w:val="Strong"/>
    <w:basedOn w:val="DefaultParagraphFont"/>
    <w:uiPriority w:val="29"/>
    <w:semiHidden/>
    <w:qFormat/>
    <w:rsid w:val="00AE2241"/>
    <w:rPr>
      <w:b/>
      <w:bCs/>
    </w:rPr>
  </w:style>
  <w:style w:type="character" w:styleId="SubtleEmphasis">
    <w:name w:val="Subtle Emphasis"/>
    <w:basedOn w:val="DefaultParagraphFont"/>
    <w:uiPriority w:val="26"/>
    <w:semiHidden/>
    <w:qFormat/>
    <w:rsid w:val="00AE2241"/>
    <w:rPr>
      <w:i/>
      <w:iCs/>
      <w:color w:val="404040" w:themeColor="text1" w:themeTint="BF"/>
    </w:rPr>
  </w:style>
  <w:style w:type="character" w:styleId="SubtleReference">
    <w:name w:val="Subtle Reference"/>
    <w:basedOn w:val="DefaultParagraphFont"/>
    <w:uiPriority w:val="32"/>
    <w:semiHidden/>
    <w:qFormat/>
    <w:rsid w:val="00AE2241"/>
    <w:rPr>
      <w:smallCaps/>
      <w:color w:val="5A5A5A" w:themeColor="text1" w:themeTint="A5"/>
    </w:rPr>
  </w:style>
  <w:style w:type="character" w:styleId="BookTitle">
    <w:name w:val="Book Title"/>
    <w:basedOn w:val="DefaultParagraphFont"/>
    <w:uiPriority w:val="34"/>
    <w:semiHidden/>
    <w:qFormat/>
    <w:rsid w:val="00AE2241"/>
    <w:rPr>
      <w:b/>
      <w:bCs/>
      <w:i/>
      <w:iCs/>
      <w:spacing w:val="5"/>
    </w:rPr>
  </w:style>
  <w:style w:type="table" w:styleId="GridTable4-Accent2">
    <w:name w:val="Grid Table 4 Accent 2"/>
    <w:basedOn w:val="TableNormal"/>
    <w:uiPriority w:val="49"/>
    <w:rsid w:val="00AE2241"/>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BodyText2">
    <w:name w:val="Body Text 2"/>
    <w:basedOn w:val="Normal"/>
    <w:link w:val="BodyText2Char"/>
    <w:uiPriority w:val="99"/>
    <w:semiHidden/>
    <w:unhideWhenUsed/>
    <w:rsid w:val="00CA0621"/>
    <w:pPr>
      <w:spacing w:after="120" w:line="480" w:lineRule="auto"/>
    </w:pPr>
  </w:style>
  <w:style w:type="character" w:customStyle="1" w:styleId="BodyText2Char">
    <w:name w:val="Body Text 2 Char"/>
    <w:basedOn w:val="DefaultParagraphFont"/>
    <w:link w:val="BodyText2"/>
    <w:uiPriority w:val="99"/>
    <w:semiHidden/>
    <w:rsid w:val="00CA0621"/>
    <w:rPr>
      <w:rFonts w:ascii="Arial" w:eastAsia="Arial" w:hAnsi="Arial" w:cs="Arial"/>
      <w:kern w:val="3"/>
      <w:sz w:val="22"/>
      <w:szCs w:val="22"/>
      <w:lang w:val="en-GB"/>
    </w:rPr>
  </w:style>
  <w:style w:type="paragraph" w:customStyle="1" w:styleId="CA2">
    <w:name w:val="CA2"/>
    <w:basedOn w:val="Heading1"/>
    <w:next w:val="Normal"/>
    <w:link w:val="CA2Char"/>
    <w:qFormat/>
    <w:rsid w:val="00CA0621"/>
    <w:pPr>
      <w:shd w:val="clear" w:color="auto" w:fill="385B16" w:themeFill="accent5"/>
      <w:spacing w:after="120"/>
    </w:pPr>
    <w:rPr>
      <w:rFonts w:asciiTheme="majorHAnsi" w:hAnsiTheme="majorHAnsi"/>
      <w:bCs w:val="0"/>
      <w:color w:val="FFFFFF" w:themeColor="background1"/>
      <w:kern w:val="0"/>
      <w:szCs w:val="32"/>
    </w:rPr>
  </w:style>
  <w:style w:type="paragraph" w:customStyle="1" w:styleId="CA3">
    <w:name w:val="CA3"/>
    <w:basedOn w:val="Heading1"/>
    <w:next w:val="Normal"/>
    <w:link w:val="CA3Char"/>
    <w:qFormat/>
    <w:rsid w:val="00CA0621"/>
    <w:pPr>
      <w:shd w:val="clear" w:color="auto" w:fill="FF00FF" w:themeFill="accent3"/>
      <w:spacing w:after="120"/>
    </w:pPr>
    <w:rPr>
      <w:rFonts w:asciiTheme="majorHAnsi" w:hAnsiTheme="majorHAnsi"/>
      <w:bCs w:val="0"/>
      <w:color w:val="FFFFFF" w:themeColor="background1"/>
      <w:kern w:val="0"/>
      <w:szCs w:val="32"/>
    </w:rPr>
  </w:style>
  <w:style w:type="character" w:customStyle="1" w:styleId="CA2Char">
    <w:name w:val="CA2 Char"/>
    <w:basedOn w:val="DefaultParagraphFont"/>
    <w:link w:val="CA2"/>
    <w:rsid w:val="00CA0621"/>
    <w:rPr>
      <w:rFonts w:asciiTheme="majorHAnsi" w:eastAsiaTheme="majorEastAsia" w:hAnsiTheme="majorHAnsi" w:cstheme="majorBidi"/>
      <w:b/>
      <w:color w:val="FFFFFF" w:themeColor="background1"/>
      <w:sz w:val="28"/>
      <w:szCs w:val="32"/>
      <w:shd w:val="clear" w:color="auto" w:fill="385B16" w:themeFill="accent5"/>
      <w:lang w:val="en-GB"/>
    </w:rPr>
  </w:style>
  <w:style w:type="paragraph" w:customStyle="1" w:styleId="CA4">
    <w:name w:val="CA4"/>
    <w:basedOn w:val="Heading1"/>
    <w:link w:val="CA4Char"/>
    <w:qFormat/>
    <w:rsid w:val="00CA0621"/>
    <w:pPr>
      <w:shd w:val="clear" w:color="auto" w:fill="070E40" w:themeFill="accent4"/>
      <w:spacing w:after="120"/>
    </w:pPr>
    <w:rPr>
      <w:rFonts w:asciiTheme="majorHAnsi" w:hAnsiTheme="majorHAnsi"/>
      <w:bCs w:val="0"/>
      <w:color w:val="FFFFFF" w:themeColor="background1"/>
      <w:kern w:val="0"/>
      <w:szCs w:val="32"/>
    </w:rPr>
  </w:style>
  <w:style w:type="character" w:customStyle="1" w:styleId="CA3Char">
    <w:name w:val="CA3 Char"/>
    <w:basedOn w:val="DefaultParagraphFont"/>
    <w:link w:val="CA3"/>
    <w:rsid w:val="00CA0621"/>
    <w:rPr>
      <w:rFonts w:asciiTheme="majorHAnsi" w:eastAsiaTheme="majorEastAsia" w:hAnsiTheme="majorHAnsi" w:cstheme="majorBidi"/>
      <w:b/>
      <w:color w:val="FFFFFF" w:themeColor="background1"/>
      <w:sz w:val="28"/>
      <w:szCs w:val="32"/>
      <w:shd w:val="clear" w:color="auto" w:fill="FF00FF" w:themeFill="accent3"/>
      <w:lang w:val="en-GB"/>
    </w:rPr>
  </w:style>
  <w:style w:type="paragraph" w:customStyle="1" w:styleId="CA5">
    <w:name w:val="CA5"/>
    <w:basedOn w:val="Heading1"/>
    <w:next w:val="Normal"/>
    <w:link w:val="CA5Char"/>
    <w:qFormat/>
    <w:rsid w:val="00CA0621"/>
    <w:pPr>
      <w:shd w:val="clear" w:color="auto" w:fill="B0322B" w:themeFill="accent6"/>
      <w:spacing w:after="120"/>
    </w:pPr>
    <w:rPr>
      <w:rFonts w:asciiTheme="majorHAnsi" w:hAnsiTheme="majorHAnsi"/>
      <w:bCs w:val="0"/>
      <w:color w:val="FFFFFF" w:themeColor="background1"/>
      <w:kern w:val="0"/>
      <w:szCs w:val="32"/>
    </w:rPr>
  </w:style>
  <w:style w:type="character" w:customStyle="1" w:styleId="CA4Char">
    <w:name w:val="CA4 Char"/>
    <w:basedOn w:val="DefaultParagraphFont"/>
    <w:link w:val="CA4"/>
    <w:rsid w:val="00CA0621"/>
    <w:rPr>
      <w:rFonts w:asciiTheme="majorHAnsi" w:eastAsiaTheme="majorEastAsia" w:hAnsiTheme="majorHAnsi" w:cstheme="majorBidi"/>
      <w:b/>
      <w:color w:val="FFFFFF" w:themeColor="background1"/>
      <w:sz w:val="28"/>
      <w:szCs w:val="32"/>
      <w:shd w:val="clear" w:color="auto" w:fill="070E40" w:themeFill="accent4"/>
      <w:lang w:val="en-GB"/>
    </w:rPr>
  </w:style>
  <w:style w:type="paragraph" w:customStyle="1" w:styleId="CA6">
    <w:name w:val="CA6"/>
    <w:basedOn w:val="Heading1"/>
    <w:next w:val="Normal"/>
    <w:link w:val="CA6Char"/>
    <w:qFormat/>
    <w:rsid w:val="00CA0621"/>
    <w:pPr>
      <w:shd w:val="clear" w:color="auto" w:fill="7A3864" w:themeFill="accent2"/>
      <w:spacing w:after="120"/>
    </w:pPr>
    <w:rPr>
      <w:rFonts w:asciiTheme="majorHAnsi" w:hAnsiTheme="majorHAnsi"/>
      <w:bCs w:val="0"/>
      <w:color w:val="FFFFFF" w:themeColor="background1"/>
      <w:kern w:val="0"/>
      <w:szCs w:val="32"/>
    </w:rPr>
  </w:style>
  <w:style w:type="character" w:customStyle="1" w:styleId="CA5Char">
    <w:name w:val="CA5 Char"/>
    <w:basedOn w:val="DefaultParagraphFont"/>
    <w:link w:val="CA5"/>
    <w:rsid w:val="00CA0621"/>
    <w:rPr>
      <w:rFonts w:asciiTheme="majorHAnsi" w:eastAsiaTheme="majorEastAsia" w:hAnsiTheme="majorHAnsi" w:cstheme="majorBidi"/>
      <w:b/>
      <w:color w:val="FFFFFF" w:themeColor="background1"/>
      <w:sz w:val="28"/>
      <w:szCs w:val="32"/>
      <w:shd w:val="clear" w:color="auto" w:fill="B0322B" w:themeFill="accent6"/>
      <w:lang w:val="en-GB"/>
    </w:rPr>
  </w:style>
  <w:style w:type="character" w:customStyle="1" w:styleId="CA6Char">
    <w:name w:val="CA6 Char"/>
    <w:basedOn w:val="DefaultParagraphFont"/>
    <w:link w:val="CA6"/>
    <w:rsid w:val="00CA0621"/>
    <w:rPr>
      <w:rFonts w:asciiTheme="majorHAnsi" w:eastAsiaTheme="majorEastAsia" w:hAnsiTheme="majorHAnsi" w:cstheme="majorBidi"/>
      <w:b/>
      <w:color w:val="FFFFFF" w:themeColor="background1"/>
      <w:sz w:val="28"/>
      <w:szCs w:val="32"/>
      <w:shd w:val="clear" w:color="auto" w:fill="7A3864" w:themeFill="accent2"/>
      <w:lang w:val="en-GB"/>
    </w:rPr>
  </w:style>
  <w:style w:type="paragraph" w:customStyle="1" w:styleId="Documentname">
    <w:name w:val="Document name"/>
    <w:basedOn w:val="Normal"/>
    <w:link w:val="DocumentnameChar"/>
    <w:qFormat/>
    <w:rsid w:val="00CA0621"/>
    <w:pPr>
      <w:framePr w:hSpace="180" w:wrap="around" w:vAnchor="page" w:hAnchor="page" w:x="775" w:y="1474"/>
      <w:spacing w:after="0"/>
    </w:pPr>
    <w:rPr>
      <w:b/>
      <w:color w:val="FFFFFF" w:themeColor="background1"/>
      <w:kern w:val="0"/>
      <w:sz w:val="28"/>
    </w:rPr>
  </w:style>
  <w:style w:type="character" w:customStyle="1" w:styleId="DocumentnameChar">
    <w:name w:val="Document name Char"/>
    <w:basedOn w:val="DefaultParagraphFont"/>
    <w:link w:val="Documentname"/>
    <w:rsid w:val="00CA0621"/>
    <w:rPr>
      <w:b/>
      <w:color w:val="FFFFFF" w:themeColor="background1"/>
      <w:sz w:val="28"/>
      <w:szCs w:val="22"/>
      <w:lang w:val="en-GB"/>
    </w:rPr>
  </w:style>
  <w:style w:type="paragraph" w:customStyle="1" w:styleId="CA7">
    <w:name w:val="CA7"/>
    <w:basedOn w:val="Heading1"/>
    <w:next w:val="Normal"/>
    <w:link w:val="CA7Char"/>
    <w:qFormat/>
    <w:rsid w:val="00CA0621"/>
    <w:pPr>
      <w:shd w:val="clear" w:color="auto" w:fill="3F0731" w:themeFill="text2"/>
      <w:spacing w:after="120"/>
    </w:pPr>
    <w:rPr>
      <w:rFonts w:asciiTheme="majorHAnsi" w:hAnsiTheme="majorHAnsi"/>
      <w:bCs w:val="0"/>
      <w:color w:val="FFFFFF" w:themeColor="background1"/>
      <w:kern w:val="0"/>
      <w:szCs w:val="32"/>
    </w:rPr>
  </w:style>
  <w:style w:type="character" w:customStyle="1" w:styleId="CA7Char">
    <w:name w:val="CA7 Char"/>
    <w:basedOn w:val="DefaultParagraphFont"/>
    <w:link w:val="CA7"/>
    <w:rsid w:val="00CA0621"/>
    <w:rPr>
      <w:rFonts w:asciiTheme="majorHAnsi" w:eastAsiaTheme="majorEastAsia" w:hAnsiTheme="majorHAnsi" w:cstheme="majorBidi"/>
      <w:b/>
      <w:color w:val="FFFFFF" w:themeColor="background1"/>
      <w:sz w:val="28"/>
      <w:szCs w:val="32"/>
      <w:shd w:val="clear" w:color="auto" w:fill="3F0731" w:themeFill="text2"/>
      <w:lang w:val="en-GB"/>
    </w:rPr>
  </w:style>
  <w:style w:type="character" w:customStyle="1" w:styleId="normaltextrun">
    <w:name w:val="normaltextrun"/>
    <w:basedOn w:val="DefaultParagraphFont"/>
    <w:rsid w:val="00CA0621"/>
  </w:style>
  <w:style w:type="table" w:customStyle="1" w:styleId="TableGrid1">
    <w:name w:val="Table Grid1"/>
    <w:basedOn w:val="TableNormal"/>
    <w:next w:val="TableGrid"/>
    <w:uiPriority w:val="39"/>
    <w:rsid w:val="00CA062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A0621"/>
    <w:rPr>
      <w:rFonts w:ascii="Poppins" w:hAnsi="Poppins"/>
      <w:kern w:val="2"/>
      <w:sz w:val="22"/>
      <w:szCs w:val="22"/>
      <w:lang w:val="en-GB"/>
      <w14:ligatures w14:val="standardContextual"/>
    </w:rPr>
  </w:style>
  <w:style w:type="character" w:customStyle="1" w:styleId="TimelineChar">
    <w:name w:val="Timeline Char"/>
    <w:basedOn w:val="DefaultParagraphFont"/>
    <w:link w:val="Timeline"/>
    <w:rsid w:val="00370AF0"/>
    <w:rPr>
      <w:rFonts w:ascii="Calibri" w:eastAsia="Calibri" w:hAnsi="Calibri" w:cs="Times New Roman"/>
      <w:color w:val="000000"/>
      <w:szCs w:val="18"/>
      <w:lang w:val="en-GB"/>
    </w:rPr>
  </w:style>
  <w:style w:type="paragraph" w:customStyle="1" w:styleId="Timeline">
    <w:name w:val="Timeline"/>
    <w:basedOn w:val="Normal"/>
    <w:link w:val="TimelineChar"/>
    <w:qFormat/>
    <w:rsid w:val="00370AF0"/>
    <w:rPr>
      <w:rFonts w:ascii="Calibri" w:eastAsia="Calibri" w:hAnsi="Calibri" w:cs="Times New Roman"/>
      <w:color w:val="000000"/>
      <w:kern w:val="0"/>
      <w:sz w:val="20"/>
      <w:szCs w:val="18"/>
    </w:rPr>
  </w:style>
  <w:style w:type="paragraph" w:customStyle="1" w:styleId="pf0">
    <w:name w:val="pf0"/>
    <w:basedOn w:val="Normal"/>
    <w:rsid w:val="00CF4BBF"/>
    <w:pPr>
      <w:spacing w:before="100" w:beforeAutospacing="1" w:after="100" w:afterAutospacing="1" w:line="240" w:lineRule="auto"/>
    </w:pPr>
    <w:rPr>
      <w:rFonts w:ascii="Times New Roman" w:eastAsia="Times New Roman" w:hAnsi="Times New Roman" w:cs="Times New Roman"/>
      <w:kern w:val="0"/>
      <w:lang w:eastAsia="en-GB"/>
    </w:rPr>
  </w:style>
  <w:style w:type="character" w:customStyle="1" w:styleId="cf01">
    <w:name w:val="cf01"/>
    <w:basedOn w:val="DefaultParagraphFont"/>
    <w:rsid w:val="00CF4BBF"/>
    <w:rPr>
      <w:rFonts w:ascii="Segoe UI" w:hAnsi="Segoe UI" w:cs="Segoe UI" w:hint="default"/>
      <w:sz w:val="18"/>
      <w:szCs w:val="18"/>
    </w:rPr>
  </w:style>
  <w:style w:type="paragraph" w:customStyle="1" w:styleId="TOCMOD">
    <w:name w:val="TOC MOD"/>
    <w:basedOn w:val="Normal"/>
    <w:qFormat/>
    <w:rsid w:val="002B7394"/>
    <w:pPr>
      <w:framePr w:hSpace="181" w:vSpace="181" w:wrap="around" w:vAnchor="text" w:hAnchor="text" w:y="1"/>
      <w:tabs>
        <w:tab w:val="left" w:pos="382"/>
        <w:tab w:val="right" w:pos="7655"/>
      </w:tabs>
      <w:spacing w:before="120" w:after="120" w:line="300" w:lineRule="atLeast"/>
      <w:ind w:right="318"/>
    </w:pPr>
    <w:rPr>
      <w:rFonts w:eastAsia="Times New Roman" w:cs="Times New Roman"/>
      <w:b/>
      <w:bCs/>
      <w:noProof/>
      <w:color w:val="008576"/>
      <w:kern w:val="0"/>
      <w:lang w:eastAsia="en-GB"/>
    </w:rPr>
  </w:style>
  <w:style w:type="table" w:styleId="PlainTable5">
    <w:name w:val="Plain Table 5"/>
    <w:basedOn w:val="TableNormal"/>
    <w:uiPriority w:val="45"/>
    <w:rsid w:val="00FA6104"/>
    <w:pPr>
      <w:autoSpaceDN w:val="0"/>
      <w:spacing w:after="0"/>
      <w:textAlignment w:val="baseline"/>
    </w:pPr>
    <w:rPr>
      <w:rFonts w:ascii="Arial" w:eastAsia="Arial" w:hAnsi="Arial" w:cs="Ari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3A1736"/>
    <w:pPr>
      <w:spacing w:after="0"/>
    </w:pPr>
    <w:tblPr>
      <w:tblStyleRowBandSize w:val="1"/>
      <w:tblStyleColBandSize w:val="1"/>
      <w:tblBorders>
        <w:top w:val="single" w:sz="4" w:space="0" w:color="DD18AB" w:themeColor="accent1" w:themeTint="99"/>
        <w:left w:val="single" w:sz="4" w:space="0" w:color="DD18AB" w:themeColor="accent1" w:themeTint="99"/>
        <w:bottom w:val="single" w:sz="4" w:space="0" w:color="DD18AB" w:themeColor="accent1" w:themeTint="99"/>
        <w:right w:val="single" w:sz="4" w:space="0" w:color="DD18AB" w:themeColor="accent1" w:themeTint="99"/>
        <w:insideH w:val="single" w:sz="4" w:space="0" w:color="DD18AB" w:themeColor="accent1" w:themeTint="99"/>
        <w:insideV w:val="single" w:sz="4" w:space="0" w:color="DD18AB" w:themeColor="accent1" w:themeTint="99"/>
      </w:tblBorders>
    </w:tblPr>
    <w:tblStylePr w:type="firstRow">
      <w:rPr>
        <w:b/>
        <w:bCs/>
        <w:color w:val="FFFFFF" w:themeColor="background1"/>
      </w:rPr>
      <w:tblPr/>
      <w:tcPr>
        <w:tcBorders>
          <w:top w:val="single" w:sz="4" w:space="0" w:color="3F0731" w:themeColor="accent1"/>
          <w:left w:val="single" w:sz="4" w:space="0" w:color="3F0731" w:themeColor="accent1"/>
          <w:bottom w:val="single" w:sz="4" w:space="0" w:color="3F0731" w:themeColor="accent1"/>
          <w:right w:val="single" w:sz="4" w:space="0" w:color="3F0731" w:themeColor="accent1"/>
          <w:insideH w:val="nil"/>
          <w:insideV w:val="nil"/>
        </w:tcBorders>
        <w:shd w:val="clear" w:color="auto" w:fill="3F0731" w:themeFill="accent1"/>
      </w:tcPr>
    </w:tblStylePr>
    <w:tblStylePr w:type="lastRow">
      <w:rPr>
        <w:b/>
        <w:bCs/>
      </w:rPr>
      <w:tblPr/>
      <w:tcPr>
        <w:tcBorders>
          <w:top w:val="double" w:sz="4" w:space="0" w:color="3F0731" w:themeColor="accent1"/>
        </w:tcBorders>
      </w:tcPr>
    </w:tblStylePr>
    <w:tblStylePr w:type="firstCol">
      <w:rPr>
        <w:b/>
        <w:bCs/>
      </w:rPr>
    </w:tblStylePr>
    <w:tblStylePr w:type="lastCol">
      <w:rPr>
        <w:b/>
        <w:bCs/>
      </w:rPr>
    </w:tblStylePr>
    <w:tblStylePr w:type="band1Vert">
      <w:tblPr/>
      <w:tcPr>
        <w:shd w:val="clear" w:color="auto" w:fill="F6AFE4" w:themeFill="accent1" w:themeFillTint="33"/>
      </w:tcPr>
    </w:tblStylePr>
    <w:tblStylePr w:type="band1Horz">
      <w:tblPr/>
      <w:tcPr>
        <w:shd w:val="clear" w:color="auto" w:fill="F6AFE4" w:themeFill="accent1" w:themeFillTint="33"/>
      </w:tcPr>
    </w:tblStylePr>
  </w:style>
  <w:style w:type="character" w:customStyle="1" w:styleId="Boldnormaltext">
    <w:name w:val="Bold normal text"/>
    <w:basedOn w:val="DefaultParagraphFont"/>
    <w:uiPriority w:val="1"/>
    <w:rsid w:val="003A1736"/>
    <w:rPr>
      <w:rFonts w:ascii="Arial" w:hAnsi="Arial"/>
      <w:b/>
      <w:sz w:val="24"/>
    </w:rPr>
  </w:style>
  <w:style w:type="paragraph" w:customStyle="1" w:styleId="paragraph">
    <w:name w:val="paragraph"/>
    <w:basedOn w:val="Normal"/>
    <w:rsid w:val="0085180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FootnoteText">
    <w:name w:val="footnote text"/>
    <w:basedOn w:val="Normal"/>
    <w:link w:val="FootnoteTextChar"/>
    <w:uiPriority w:val="99"/>
    <w:semiHidden/>
    <w:unhideWhenUsed/>
    <w:rsid w:val="008518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1805"/>
    <w:rPr>
      <w:kern w:val="2"/>
      <w:lang w:val="en-GB"/>
      <w14:ligatures w14:val="standardContextual"/>
    </w:rPr>
  </w:style>
  <w:style w:type="character" w:styleId="FootnoteReference">
    <w:name w:val="footnote reference"/>
    <w:basedOn w:val="DefaultParagraphFont"/>
    <w:uiPriority w:val="99"/>
    <w:semiHidden/>
    <w:unhideWhenUsed/>
    <w:rsid w:val="008518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380053149">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82245253">
      <w:bodyDiv w:val="1"/>
      <w:marLeft w:val="0"/>
      <w:marRight w:val="0"/>
      <w:marTop w:val="0"/>
      <w:marBottom w:val="0"/>
      <w:divBdr>
        <w:top w:val="none" w:sz="0" w:space="0" w:color="auto"/>
        <w:left w:val="none" w:sz="0" w:space="0" w:color="auto"/>
        <w:bottom w:val="none" w:sz="0" w:space="0" w:color="auto"/>
        <w:right w:val="none" w:sz="0" w:space="0" w:color="auto"/>
      </w:divBdr>
      <w:divsChild>
        <w:div w:id="25982072">
          <w:marLeft w:val="0"/>
          <w:marRight w:val="0"/>
          <w:marTop w:val="0"/>
          <w:marBottom w:val="0"/>
          <w:divBdr>
            <w:top w:val="none" w:sz="0" w:space="0" w:color="auto"/>
            <w:left w:val="none" w:sz="0" w:space="0" w:color="auto"/>
            <w:bottom w:val="none" w:sz="0" w:space="0" w:color="auto"/>
            <w:right w:val="none" w:sz="0" w:space="0" w:color="auto"/>
          </w:divBdr>
        </w:div>
        <w:div w:id="746269342">
          <w:marLeft w:val="0"/>
          <w:marRight w:val="0"/>
          <w:marTop w:val="0"/>
          <w:marBottom w:val="0"/>
          <w:divBdr>
            <w:top w:val="none" w:sz="0" w:space="0" w:color="auto"/>
            <w:left w:val="none" w:sz="0" w:space="0" w:color="auto"/>
            <w:bottom w:val="none" w:sz="0" w:space="0" w:color="auto"/>
            <w:right w:val="none" w:sz="0" w:space="0" w:color="auto"/>
          </w:divBdr>
        </w:div>
        <w:div w:id="1039210489">
          <w:marLeft w:val="0"/>
          <w:marRight w:val="0"/>
          <w:marTop w:val="0"/>
          <w:marBottom w:val="0"/>
          <w:divBdr>
            <w:top w:val="none" w:sz="0" w:space="0" w:color="auto"/>
            <w:left w:val="none" w:sz="0" w:space="0" w:color="auto"/>
            <w:bottom w:val="none" w:sz="0" w:space="0" w:color="auto"/>
            <w:right w:val="none" w:sz="0" w:space="0" w:color="auto"/>
          </w:divBdr>
        </w:div>
      </w:divsChild>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48367447">
      <w:bodyDiv w:val="1"/>
      <w:marLeft w:val="0"/>
      <w:marRight w:val="0"/>
      <w:marTop w:val="0"/>
      <w:marBottom w:val="0"/>
      <w:divBdr>
        <w:top w:val="none" w:sz="0" w:space="0" w:color="auto"/>
        <w:left w:val="none" w:sz="0" w:space="0" w:color="auto"/>
        <w:bottom w:val="none" w:sz="0" w:space="0" w:color="auto"/>
        <w:right w:val="none" w:sz="0" w:space="0" w:color="auto"/>
      </w:divBdr>
      <w:divsChild>
        <w:div w:id="1838576155">
          <w:marLeft w:val="0"/>
          <w:marRight w:val="0"/>
          <w:marTop w:val="0"/>
          <w:marBottom w:val="0"/>
          <w:divBdr>
            <w:top w:val="single" w:sz="8" w:space="6" w:color="auto"/>
            <w:left w:val="single" w:sz="8" w:space="12" w:color="auto"/>
            <w:bottom w:val="single" w:sz="8" w:space="6" w:color="auto"/>
            <w:right w:val="single" w:sz="8" w:space="12" w:color="auto"/>
          </w:divBdr>
          <w:divsChild>
            <w:div w:id="14740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56909334">
      <w:bodyDiv w:val="1"/>
      <w:marLeft w:val="0"/>
      <w:marRight w:val="0"/>
      <w:marTop w:val="0"/>
      <w:marBottom w:val="0"/>
      <w:divBdr>
        <w:top w:val="none" w:sz="0" w:space="0" w:color="auto"/>
        <w:left w:val="none" w:sz="0" w:space="0" w:color="auto"/>
        <w:bottom w:val="none" w:sz="0" w:space="0" w:color="auto"/>
        <w:right w:val="none" w:sz="0" w:space="0" w:color="auto"/>
      </w:divBdr>
      <w:divsChild>
        <w:div w:id="13506921">
          <w:marLeft w:val="0"/>
          <w:marRight w:val="0"/>
          <w:marTop w:val="0"/>
          <w:marBottom w:val="0"/>
          <w:divBdr>
            <w:top w:val="none" w:sz="0" w:space="0" w:color="auto"/>
            <w:left w:val="none" w:sz="0" w:space="0" w:color="auto"/>
            <w:bottom w:val="none" w:sz="0" w:space="0" w:color="auto"/>
            <w:right w:val="none" w:sz="0" w:space="0" w:color="auto"/>
          </w:divBdr>
        </w:div>
        <w:div w:id="164057157">
          <w:marLeft w:val="0"/>
          <w:marRight w:val="0"/>
          <w:marTop w:val="0"/>
          <w:marBottom w:val="0"/>
          <w:divBdr>
            <w:top w:val="none" w:sz="0" w:space="0" w:color="auto"/>
            <w:left w:val="none" w:sz="0" w:space="0" w:color="auto"/>
            <w:bottom w:val="none" w:sz="0" w:space="0" w:color="auto"/>
            <w:right w:val="none" w:sz="0" w:space="0" w:color="auto"/>
          </w:divBdr>
        </w:div>
        <w:div w:id="795178746">
          <w:marLeft w:val="0"/>
          <w:marRight w:val="0"/>
          <w:marTop w:val="0"/>
          <w:marBottom w:val="0"/>
          <w:divBdr>
            <w:top w:val="none" w:sz="0" w:space="0" w:color="auto"/>
            <w:left w:val="none" w:sz="0" w:space="0" w:color="auto"/>
            <w:bottom w:val="none" w:sz="0" w:space="0" w:color="auto"/>
            <w:right w:val="none" w:sz="0" w:space="0" w:color="auto"/>
          </w:divBdr>
        </w:div>
      </w:divsChild>
    </w:div>
    <w:div w:id="1665433074">
      <w:bodyDiv w:val="1"/>
      <w:marLeft w:val="0"/>
      <w:marRight w:val="0"/>
      <w:marTop w:val="0"/>
      <w:marBottom w:val="0"/>
      <w:divBdr>
        <w:top w:val="none" w:sz="0" w:space="0" w:color="auto"/>
        <w:left w:val="none" w:sz="0" w:space="0" w:color="auto"/>
        <w:bottom w:val="none" w:sz="0" w:space="0" w:color="auto"/>
        <w:right w:val="none" w:sz="0" w:space="0" w:color="auto"/>
      </w:divBdr>
      <w:divsChild>
        <w:div w:id="809320825">
          <w:marLeft w:val="0"/>
          <w:marRight w:val="0"/>
          <w:marTop w:val="0"/>
          <w:marBottom w:val="0"/>
          <w:divBdr>
            <w:top w:val="single" w:sz="8" w:space="6" w:color="auto"/>
            <w:left w:val="single" w:sz="8" w:space="12" w:color="auto"/>
            <w:bottom w:val="single" w:sz="8" w:space="6" w:color="auto"/>
            <w:right w:val="single" w:sz="8" w:space="12" w:color="auto"/>
          </w:divBdr>
          <w:divsChild>
            <w:div w:id="18571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46026940">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1961761787">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www.dcusa.co.uk/change/reducing-the-impact-of-transmission-distribution-charges/" TargetMode="External"/><Relationship Id="rId26" Type="http://schemas.openxmlformats.org/officeDocument/2006/relationships/hyperlink" Target="https://roadnighttaylor.co.uk/connectology/podcasts/podcast-super-grid-transformer-charging-full-2/" TargetMode="External"/><Relationship Id="rId21" Type="http://schemas.openxmlformats.org/officeDocument/2006/relationships/hyperlink" Target="https://www.dcusa.co.uk/change/charging-of-third-party-dno-works-to-transmission-connection-users/"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www.gov.uk/government/publications/electricity-networks-connections-action-plan" TargetMode="External"/><Relationship Id="rId25" Type="http://schemas.openxmlformats.org/officeDocument/2006/relationships/hyperlink" Target="https://www.dcusa.co.uk/group/dcp-461-working-group/"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ofgem.gov.uk/consultation/access-and-forward-looking-charges-significant-code-review-updates-our-minded-positions" TargetMode="External"/><Relationship Id="rId20" Type="http://schemas.openxmlformats.org/officeDocument/2006/relationships/hyperlink" Target="https://www.dcusa.co.uk/change/idno-connection-applications-treatment-of-existing-assets/" TargetMode="External"/><Relationship Id="rId29" Type="http://schemas.openxmlformats.org/officeDocument/2006/relationships/hyperlink" Target="../../08.%20Workgroup%20Report/&#8226;%09https:/www.energynetworks.org/assets/images/Publications/2024/240520-april-connections-delivery-board-meeting-minutes.pdf?175732711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thew.larreta1@neso.energy" TargetMode="External"/><Relationship Id="rId24" Type="http://schemas.openxmlformats.org/officeDocument/2006/relationships/hyperlink" Target="https://www.ofgem.gov.uk/sites/default/files/2025-07/open-letter-reforming-network-charging-signals.pdf%20%20/%20https:/www.ofgem.gov.uk/publications/reforming-network-charging-signals-align-future-design-great-britains-electricity-system" TargetMode="External"/><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www.neso.energy/industry-information/codes/cusc/modifications/cmp292-introducing-section-8-cut-date-changes-charging-methodologies" TargetMode="External"/><Relationship Id="rId28" Type="http://schemas.openxmlformats.org/officeDocument/2006/relationships/hyperlink" Target="https://www.ofgem.gov.uk/consultation/access-and-forward-looking-charges-significant-code-review-consultation-minded-positions"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neso.energy/document/358456/download"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dcusa.co.uk/change/reducing-the-impact-of-transmission-distribution-charges/" TargetMode="External"/><Relationship Id="rId27" Type="http://schemas.openxmlformats.org/officeDocument/2006/relationships/hyperlink" Target="https://assets.publishing.service.gov.uk/media/6581730523b70a000d234bb0/connections-action-plan-desnz-ofgem.pdf" TargetMode="External"/><Relationship Id="rId30" Type="http://schemas.openxmlformats.org/officeDocument/2006/relationships/hyperlink" Target="https://roadnighttaylor.co.uk/wp-content/uploads/2023/09/Open-letter-to-Ofgem-regarding-distortion-in-charging-for-supergrid-transformer-reinforcement.pdf"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www.neso.energy/document/362701/downlo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2A4FD6BBEC4960A770FEF89E43C352"/>
        <w:category>
          <w:name w:val="General"/>
          <w:gallery w:val="placeholder"/>
        </w:category>
        <w:types>
          <w:type w:val="bbPlcHdr"/>
        </w:types>
        <w:behaviors>
          <w:behavior w:val="content"/>
        </w:behaviors>
        <w:guid w:val="{8E1CFBD2-0893-4AC1-BAE1-098CB2EF1A6C}"/>
      </w:docPartPr>
      <w:docPartBody>
        <w:p w:rsidR="00000000" w:rsidRDefault="001E17CA" w:rsidP="001E17CA">
          <w:pPr>
            <w:pStyle w:val="452A4FD6BBEC4960A770FEF89E43C352"/>
          </w:pPr>
          <w:r w:rsidRPr="00340879">
            <w:rPr>
              <w:rStyle w:val="PlaceholderText"/>
              <w:rFonts w:ascii="Poppins" w:hAnsi="Poppins" w:cs="Poppins"/>
            </w:rPr>
            <w:t>Choose an item.</w:t>
          </w:r>
        </w:p>
      </w:docPartBody>
    </w:docPart>
    <w:docPart>
      <w:docPartPr>
        <w:name w:val="2B1DBD8AAF1D4D9EAF837F02E434B158"/>
        <w:category>
          <w:name w:val="General"/>
          <w:gallery w:val="placeholder"/>
        </w:category>
        <w:types>
          <w:type w:val="bbPlcHdr"/>
        </w:types>
        <w:behaviors>
          <w:behavior w:val="content"/>
        </w:behaviors>
        <w:guid w:val="{9A674F92-5E99-4DE7-BF90-945F02B8B045}"/>
      </w:docPartPr>
      <w:docPartBody>
        <w:p w:rsidR="00000000" w:rsidRDefault="001E17CA" w:rsidP="001E17CA">
          <w:pPr>
            <w:pStyle w:val="2B1DBD8AAF1D4D9EAF837F02E434B158"/>
          </w:pPr>
          <w:r w:rsidRPr="00340879">
            <w:rPr>
              <w:rStyle w:val="PlaceholderText"/>
              <w:rFonts w:ascii="Poppins" w:hAnsi="Poppins" w:cs="Poppins"/>
            </w:rPr>
            <w:t>Choose an item.</w:t>
          </w:r>
        </w:p>
      </w:docPartBody>
    </w:docPart>
    <w:docPart>
      <w:docPartPr>
        <w:name w:val="956DB97C43ED41B796DFBD7B54F06A2C"/>
        <w:category>
          <w:name w:val="General"/>
          <w:gallery w:val="placeholder"/>
        </w:category>
        <w:types>
          <w:type w:val="bbPlcHdr"/>
        </w:types>
        <w:behaviors>
          <w:behavior w:val="content"/>
        </w:behaviors>
        <w:guid w:val="{5AD7347E-01C2-4C03-AF62-D18C8F38357D}"/>
      </w:docPartPr>
      <w:docPartBody>
        <w:p w:rsidR="00000000" w:rsidRDefault="001E17CA" w:rsidP="001E17CA">
          <w:pPr>
            <w:pStyle w:val="956DB97C43ED41B796DFBD7B54F06A2C"/>
          </w:pPr>
          <w:r w:rsidRPr="00340879">
            <w:rPr>
              <w:rStyle w:val="PlaceholderText"/>
              <w:rFonts w:ascii="Poppins" w:hAnsi="Poppins" w:cs="Poppins"/>
            </w:rPr>
            <w:t>Choose an item.</w:t>
          </w:r>
        </w:p>
      </w:docPartBody>
    </w:docPart>
    <w:docPart>
      <w:docPartPr>
        <w:name w:val="301940BB0CDE4DD689F14D9C6A8A6568"/>
        <w:category>
          <w:name w:val="General"/>
          <w:gallery w:val="placeholder"/>
        </w:category>
        <w:types>
          <w:type w:val="bbPlcHdr"/>
        </w:types>
        <w:behaviors>
          <w:behavior w:val="content"/>
        </w:behaviors>
        <w:guid w:val="{E3FE04E5-1733-4D70-892F-58DAE9AC2D5F}"/>
      </w:docPartPr>
      <w:docPartBody>
        <w:p w:rsidR="00000000" w:rsidRDefault="001E17CA" w:rsidP="001E17CA">
          <w:pPr>
            <w:pStyle w:val="301940BB0CDE4DD689F14D9C6A8A6568"/>
          </w:pPr>
          <w:r w:rsidRPr="00340879">
            <w:rPr>
              <w:rStyle w:val="PlaceholderText"/>
              <w:rFonts w:ascii="Poppins" w:hAnsi="Poppins" w:cs="Poppins"/>
            </w:rPr>
            <w:t>Choose an item.</w:t>
          </w:r>
        </w:p>
      </w:docPartBody>
    </w:docPart>
    <w:docPart>
      <w:docPartPr>
        <w:name w:val="BA910788EA69479A807330A2747D5E23"/>
        <w:category>
          <w:name w:val="General"/>
          <w:gallery w:val="placeholder"/>
        </w:category>
        <w:types>
          <w:type w:val="bbPlcHdr"/>
        </w:types>
        <w:behaviors>
          <w:behavior w:val="content"/>
        </w:behaviors>
        <w:guid w:val="{3DE0BBA0-9F38-41D2-9770-8006AAA6B02B}"/>
      </w:docPartPr>
      <w:docPartBody>
        <w:p w:rsidR="00000000" w:rsidRDefault="001E17CA" w:rsidP="001E17CA">
          <w:pPr>
            <w:pStyle w:val="BA910788EA69479A807330A2747D5E23"/>
          </w:pPr>
          <w:r w:rsidRPr="00340879">
            <w:rPr>
              <w:rStyle w:val="PlaceholderText"/>
              <w:rFonts w:ascii="Poppins" w:hAnsi="Poppins" w:cs="Poppins"/>
            </w:rPr>
            <w:t>Choose an item.</w:t>
          </w:r>
        </w:p>
      </w:docPartBody>
    </w:docPart>
    <w:docPart>
      <w:docPartPr>
        <w:name w:val="0D377A7D565D4C10BC44C75DCD8F2901"/>
        <w:category>
          <w:name w:val="General"/>
          <w:gallery w:val="placeholder"/>
        </w:category>
        <w:types>
          <w:type w:val="bbPlcHdr"/>
        </w:types>
        <w:behaviors>
          <w:behavior w:val="content"/>
        </w:behaviors>
        <w:guid w:val="{5F288D65-8E88-4A34-9CE8-001617A40DCB}"/>
      </w:docPartPr>
      <w:docPartBody>
        <w:p w:rsidR="00000000" w:rsidRDefault="001E17CA" w:rsidP="001E17CA">
          <w:pPr>
            <w:pStyle w:val="0D377A7D565D4C10BC44C75DCD8F2901"/>
          </w:pPr>
          <w:r w:rsidRPr="00625C74">
            <w:rPr>
              <w:rStyle w:val="PlaceholderText"/>
            </w:rPr>
            <w:t>Choose an item.</w:t>
          </w:r>
        </w:p>
      </w:docPartBody>
    </w:docPart>
    <w:docPart>
      <w:docPartPr>
        <w:name w:val="33D6FC8D0D8A4C938BEDA9B9F6F03870"/>
        <w:category>
          <w:name w:val="General"/>
          <w:gallery w:val="placeholder"/>
        </w:category>
        <w:types>
          <w:type w:val="bbPlcHdr"/>
        </w:types>
        <w:behaviors>
          <w:behavior w:val="content"/>
        </w:behaviors>
        <w:guid w:val="{72EA1A5A-D668-40D9-9DA8-C629267780A1}"/>
      </w:docPartPr>
      <w:docPartBody>
        <w:p w:rsidR="00000000" w:rsidRDefault="001E17CA" w:rsidP="001E17CA">
          <w:pPr>
            <w:pStyle w:val="33D6FC8D0D8A4C938BEDA9B9F6F03870"/>
          </w:pPr>
          <w:r w:rsidRPr="00625C74">
            <w:rPr>
              <w:rStyle w:val="PlaceholderText"/>
            </w:rPr>
            <w:t>Choose an item.</w:t>
          </w:r>
        </w:p>
      </w:docPartBody>
    </w:docPart>
    <w:docPart>
      <w:docPartPr>
        <w:name w:val="1EBC14C777804ABC8E8E3ADB068FA855"/>
        <w:category>
          <w:name w:val="General"/>
          <w:gallery w:val="placeholder"/>
        </w:category>
        <w:types>
          <w:type w:val="bbPlcHdr"/>
        </w:types>
        <w:behaviors>
          <w:behavior w:val="content"/>
        </w:behaviors>
        <w:guid w:val="{3C0E844C-1FF2-4B95-A8A9-5591D3EAEC2C}"/>
      </w:docPartPr>
      <w:docPartBody>
        <w:p w:rsidR="00000000" w:rsidRDefault="001E17CA" w:rsidP="001E17CA">
          <w:pPr>
            <w:pStyle w:val="1EBC14C777804ABC8E8E3ADB068FA855"/>
          </w:pPr>
          <w:r w:rsidRPr="00625C74">
            <w:rPr>
              <w:rStyle w:val="PlaceholderText"/>
            </w:rPr>
            <w:t>Choose an item.</w:t>
          </w:r>
        </w:p>
      </w:docPartBody>
    </w:docPart>
    <w:docPart>
      <w:docPartPr>
        <w:name w:val="974B35CDE0804F4D8FF20722DB263FA0"/>
        <w:category>
          <w:name w:val="General"/>
          <w:gallery w:val="placeholder"/>
        </w:category>
        <w:types>
          <w:type w:val="bbPlcHdr"/>
        </w:types>
        <w:behaviors>
          <w:behavior w:val="content"/>
        </w:behaviors>
        <w:guid w:val="{DEC65216-C977-4454-8453-75A864ACCEE1}"/>
      </w:docPartPr>
      <w:docPartBody>
        <w:p w:rsidR="00000000" w:rsidRDefault="001E17CA" w:rsidP="001E17CA">
          <w:pPr>
            <w:pStyle w:val="974B35CDE0804F4D8FF20722DB263FA0"/>
          </w:pPr>
          <w:r w:rsidRPr="00625C74">
            <w:rPr>
              <w:rStyle w:val="PlaceholderText"/>
            </w:rPr>
            <w:t>Choose an item.</w:t>
          </w:r>
        </w:p>
      </w:docPartBody>
    </w:docPart>
    <w:docPart>
      <w:docPartPr>
        <w:name w:val="577906265776497389331142082C9A5F"/>
        <w:category>
          <w:name w:val="General"/>
          <w:gallery w:val="placeholder"/>
        </w:category>
        <w:types>
          <w:type w:val="bbPlcHdr"/>
        </w:types>
        <w:behaviors>
          <w:behavior w:val="content"/>
        </w:behaviors>
        <w:guid w:val="{BB87AA1C-F8EB-48C7-91DF-05F660A44142}"/>
      </w:docPartPr>
      <w:docPartBody>
        <w:p w:rsidR="00000000" w:rsidRDefault="001E17CA" w:rsidP="001E17CA">
          <w:pPr>
            <w:pStyle w:val="577906265776497389331142082C9A5F"/>
          </w:pPr>
          <w:r w:rsidRPr="00625C7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oppins">
    <w:panose1 w:val="00000500000000000000"/>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GPMinchoE">
    <w:charset w:val="80"/>
    <w:family w:val="roman"/>
    <w:pitch w:val="variable"/>
    <w:sig w:usb0="E00002FF" w:usb1="2AC7EDFE" w:usb2="00000012" w:usb3="00000000" w:csb0="0002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10F"/>
    <w:rsid w:val="0006560D"/>
    <w:rsid w:val="000B33A0"/>
    <w:rsid w:val="001E17CA"/>
    <w:rsid w:val="001F60AF"/>
    <w:rsid w:val="002F0415"/>
    <w:rsid w:val="00302755"/>
    <w:rsid w:val="00303366"/>
    <w:rsid w:val="003354CA"/>
    <w:rsid w:val="00343266"/>
    <w:rsid w:val="003D70D8"/>
    <w:rsid w:val="00484FD3"/>
    <w:rsid w:val="004D15CA"/>
    <w:rsid w:val="004F2B50"/>
    <w:rsid w:val="00501BD3"/>
    <w:rsid w:val="005505BE"/>
    <w:rsid w:val="005F4FCB"/>
    <w:rsid w:val="0072413F"/>
    <w:rsid w:val="00816583"/>
    <w:rsid w:val="00843BC0"/>
    <w:rsid w:val="008C7A0F"/>
    <w:rsid w:val="00925542"/>
    <w:rsid w:val="00927108"/>
    <w:rsid w:val="00A94D05"/>
    <w:rsid w:val="00AA08F2"/>
    <w:rsid w:val="00AF1AFE"/>
    <w:rsid w:val="00B82C54"/>
    <w:rsid w:val="00C06C13"/>
    <w:rsid w:val="00C14B01"/>
    <w:rsid w:val="00C62E72"/>
    <w:rsid w:val="00CA225E"/>
    <w:rsid w:val="00D002DC"/>
    <w:rsid w:val="00D33AF9"/>
    <w:rsid w:val="00E078B4"/>
    <w:rsid w:val="00E277FC"/>
    <w:rsid w:val="00E3610F"/>
    <w:rsid w:val="00FA4F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17CA"/>
    <w:rPr>
      <w:color w:val="808080"/>
    </w:rPr>
  </w:style>
  <w:style w:type="paragraph" w:customStyle="1" w:styleId="53E72486E60143CA9B94FD97F5872898">
    <w:name w:val="53E72486E60143CA9B94FD97F5872898"/>
  </w:style>
  <w:style w:type="paragraph" w:customStyle="1" w:styleId="81281F9F7D094952A67E29A270B143F3">
    <w:name w:val="81281F9F7D094952A67E29A270B143F3"/>
  </w:style>
  <w:style w:type="paragraph" w:customStyle="1" w:styleId="A0F287B27ABD4A28999FC65C963A8EC8">
    <w:name w:val="A0F287B27ABD4A28999FC65C963A8EC8"/>
  </w:style>
  <w:style w:type="paragraph" w:customStyle="1" w:styleId="543CAB09F4AB4ABAA386035A37920860">
    <w:name w:val="543CAB09F4AB4ABAA386035A37920860"/>
  </w:style>
  <w:style w:type="paragraph" w:customStyle="1" w:styleId="4B4A352614E749C0BE87D98A1F8C814E">
    <w:name w:val="4B4A352614E749C0BE87D98A1F8C814E"/>
  </w:style>
  <w:style w:type="paragraph" w:customStyle="1" w:styleId="C62DE38C2EBC45ECA2936D3056955672">
    <w:name w:val="C62DE38C2EBC45ECA2936D3056955672"/>
  </w:style>
  <w:style w:type="paragraph" w:customStyle="1" w:styleId="C732357DF3AE40F19076AE966FCD5294">
    <w:name w:val="C732357DF3AE40F19076AE966FCD5294"/>
  </w:style>
  <w:style w:type="paragraph" w:customStyle="1" w:styleId="FB14E2E48FB14D7BB17ECC917C0A492F">
    <w:name w:val="FB14E2E48FB14D7BB17ECC917C0A492F"/>
  </w:style>
  <w:style w:type="paragraph" w:customStyle="1" w:styleId="6AFF76ED3F1A4216A70142155348C3DF">
    <w:name w:val="6AFF76ED3F1A4216A70142155348C3DF"/>
  </w:style>
  <w:style w:type="paragraph" w:customStyle="1" w:styleId="9E4E24933B7B403A996BB62896836A21">
    <w:name w:val="9E4E24933B7B403A996BB62896836A21"/>
  </w:style>
  <w:style w:type="paragraph" w:customStyle="1" w:styleId="452A4FD6BBEC4960A770FEF89E43C352">
    <w:name w:val="452A4FD6BBEC4960A770FEF89E43C352"/>
    <w:rsid w:val="001E17CA"/>
  </w:style>
  <w:style w:type="paragraph" w:customStyle="1" w:styleId="2B1DBD8AAF1D4D9EAF837F02E434B158">
    <w:name w:val="2B1DBD8AAF1D4D9EAF837F02E434B158"/>
    <w:rsid w:val="001E17CA"/>
  </w:style>
  <w:style w:type="paragraph" w:customStyle="1" w:styleId="956DB97C43ED41B796DFBD7B54F06A2C">
    <w:name w:val="956DB97C43ED41B796DFBD7B54F06A2C"/>
    <w:rsid w:val="001E17CA"/>
  </w:style>
  <w:style w:type="paragraph" w:customStyle="1" w:styleId="301940BB0CDE4DD689F14D9C6A8A6568">
    <w:name w:val="301940BB0CDE4DD689F14D9C6A8A6568"/>
    <w:rsid w:val="001E17CA"/>
  </w:style>
  <w:style w:type="paragraph" w:customStyle="1" w:styleId="BA910788EA69479A807330A2747D5E23">
    <w:name w:val="BA910788EA69479A807330A2747D5E23"/>
    <w:rsid w:val="001E17CA"/>
  </w:style>
  <w:style w:type="paragraph" w:customStyle="1" w:styleId="0D377A7D565D4C10BC44C75DCD8F2901">
    <w:name w:val="0D377A7D565D4C10BC44C75DCD8F2901"/>
    <w:rsid w:val="001E17CA"/>
  </w:style>
  <w:style w:type="paragraph" w:customStyle="1" w:styleId="33D6FC8D0D8A4C938BEDA9B9F6F03870">
    <w:name w:val="33D6FC8D0D8A4C938BEDA9B9F6F03870"/>
    <w:rsid w:val="001E17CA"/>
  </w:style>
  <w:style w:type="paragraph" w:customStyle="1" w:styleId="1EBC14C777804ABC8E8E3ADB068FA855">
    <w:name w:val="1EBC14C777804ABC8E8E3ADB068FA855"/>
    <w:rsid w:val="001E17CA"/>
  </w:style>
  <w:style w:type="paragraph" w:customStyle="1" w:styleId="974B35CDE0804F4D8FF20722DB263FA0">
    <w:name w:val="974B35CDE0804F4D8FF20722DB263FA0"/>
    <w:rsid w:val="001E17CA"/>
  </w:style>
  <w:style w:type="paragraph" w:customStyle="1" w:styleId="577906265776497389331142082C9A5F">
    <w:name w:val="577906265776497389331142082C9A5F"/>
    <w:rsid w:val="001E17CA"/>
  </w:style>
  <w:style w:type="paragraph" w:customStyle="1" w:styleId="722FF7141EF74FF59C96BFEC60896F02">
    <w:name w:val="722FF7141EF74FF59C96BFEC60896F02"/>
    <w:rsid w:val="001E17CA"/>
  </w:style>
  <w:style w:type="paragraph" w:customStyle="1" w:styleId="C407F3F436C84628B321496A42A032A3">
    <w:name w:val="C407F3F436C84628B321496A42A032A3"/>
    <w:rsid w:val="001E17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6E145-CA3E-4A29-9F79-DC2F7A85D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 ds:uri="f71abe4e-f5ff-49cd-8eff-5f4949acc510"/>
  </ds:schemaRefs>
</ds:datastoreItem>
</file>

<file path=customXml/itemProps3.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4.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45</Pages>
  <Words>12159</Words>
  <Characters>67727</Characters>
  <Application>Microsoft Office Word</Application>
  <DocSecurity>0</DocSecurity>
  <Lines>2709</Lines>
  <Paragraphs>1857</Paragraphs>
  <ScaleCrop>false</ScaleCrop>
  <HeadingPairs>
    <vt:vector size="2" baseType="variant">
      <vt:variant>
        <vt:lpstr>Title</vt:lpstr>
      </vt:variant>
      <vt:variant>
        <vt:i4>1</vt:i4>
      </vt:variant>
    </vt:vector>
  </HeadingPairs>
  <TitlesOfParts>
    <vt:vector size="1" baseType="lpstr">
      <vt:lpstr/>
    </vt:vector>
  </TitlesOfParts>
  <Company>Hamilton-Brown</Company>
  <LinksUpToDate>false</LinksUpToDate>
  <CharactersWithSpaces>78029</CharactersWithSpaces>
  <SharedDoc>false</SharedDoc>
  <HLinks>
    <vt:vector size="186" baseType="variant">
      <vt:variant>
        <vt:i4>5439559</vt:i4>
      </vt:variant>
      <vt:variant>
        <vt:i4>153</vt:i4>
      </vt:variant>
      <vt:variant>
        <vt:i4>0</vt:i4>
      </vt:variant>
      <vt:variant>
        <vt:i4>5</vt:i4>
      </vt:variant>
      <vt:variant>
        <vt:lpwstr>https://support.microsoft.com/en-us/office/add-or-delete-bookmarks-in-a-word-document-or-outlook-message-f68d781f-0150-4583-a90e-a4009d99c2a0</vt:lpwstr>
      </vt:variant>
      <vt:variant>
        <vt:lpwstr/>
      </vt:variant>
      <vt:variant>
        <vt:i4>5439559</vt:i4>
      </vt:variant>
      <vt:variant>
        <vt:i4>150</vt:i4>
      </vt:variant>
      <vt:variant>
        <vt:i4>0</vt:i4>
      </vt:variant>
      <vt:variant>
        <vt:i4>5</vt:i4>
      </vt:variant>
      <vt:variant>
        <vt:lpwstr>https://support.microsoft.com/en-us/office/add-or-delete-bookmarks-in-a-word-document-or-outlook-message-f68d781f-0150-4583-a90e-a4009d99c2a0</vt:lpwstr>
      </vt:variant>
      <vt:variant>
        <vt:lpwstr/>
      </vt:variant>
      <vt:variant>
        <vt:i4>5439559</vt:i4>
      </vt:variant>
      <vt:variant>
        <vt:i4>147</vt:i4>
      </vt:variant>
      <vt:variant>
        <vt:i4>0</vt:i4>
      </vt:variant>
      <vt:variant>
        <vt:i4>5</vt:i4>
      </vt:variant>
      <vt:variant>
        <vt:lpwstr>https://support.microsoft.com/en-us/office/add-or-delete-bookmarks-in-a-word-document-or-outlook-message-f68d781f-0150-4583-a90e-a4009d99c2a0</vt:lpwstr>
      </vt:variant>
      <vt:variant>
        <vt:lpwstr/>
      </vt:variant>
      <vt:variant>
        <vt:i4>1703986</vt:i4>
      </vt:variant>
      <vt:variant>
        <vt:i4>140</vt:i4>
      </vt:variant>
      <vt:variant>
        <vt:i4>0</vt:i4>
      </vt:variant>
      <vt:variant>
        <vt:i4>5</vt:i4>
      </vt:variant>
      <vt:variant>
        <vt:lpwstr/>
      </vt:variant>
      <vt:variant>
        <vt:lpwstr>_Toc207608731</vt:lpwstr>
      </vt:variant>
      <vt:variant>
        <vt:i4>1703986</vt:i4>
      </vt:variant>
      <vt:variant>
        <vt:i4>134</vt:i4>
      </vt:variant>
      <vt:variant>
        <vt:i4>0</vt:i4>
      </vt:variant>
      <vt:variant>
        <vt:i4>5</vt:i4>
      </vt:variant>
      <vt:variant>
        <vt:lpwstr/>
      </vt:variant>
      <vt:variant>
        <vt:lpwstr>_Toc207608730</vt:lpwstr>
      </vt:variant>
      <vt:variant>
        <vt:i4>1769522</vt:i4>
      </vt:variant>
      <vt:variant>
        <vt:i4>128</vt:i4>
      </vt:variant>
      <vt:variant>
        <vt:i4>0</vt:i4>
      </vt:variant>
      <vt:variant>
        <vt:i4>5</vt:i4>
      </vt:variant>
      <vt:variant>
        <vt:lpwstr/>
      </vt:variant>
      <vt:variant>
        <vt:lpwstr>_Toc207608729</vt:lpwstr>
      </vt:variant>
      <vt:variant>
        <vt:i4>1769522</vt:i4>
      </vt:variant>
      <vt:variant>
        <vt:i4>122</vt:i4>
      </vt:variant>
      <vt:variant>
        <vt:i4>0</vt:i4>
      </vt:variant>
      <vt:variant>
        <vt:i4>5</vt:i4>
      </vt:variant>
      <vt:variant>
        <vt:lpwstr/>
      </vt:variant>
      <vt:variant>
        <vt:lpwstr>_Toc207608728</vt:lpwstr>
      </vt:variant>
      <vt:variant>
        <vt:i4>1769522</vt:i4>
      </vt:variant>
      <vt:variant>
        <vt:i4>116</vt:i4>
      </vt:variant>
      <vt:variant>
        <vt:i4>0</vt:i4>
      </vt:variant>
      <vt:variant>
        <vt:i4>5</vt:i4>
      </vt:variant>
      <vt:variant>
        <vt:lpwstr/>
      </vt:variant>
      <vt:variant>
        <vt:lpwstr>_Toc207608727</vt:lpwstr>
      </vt:variant>
      <vt:variant>
        <vt:i4>1769522</vt:i4>
      </vt:variant>
      <vt:variant>
        <vt:i4>110</vt:i4>
      </vt:variant>
      <vt:variant>
        <vt:i4>0</vt:i4>
      </vt:variant>
      <vt:variant>
        <vt:i4>5</vt:i4>
      </vt:variant>
      <vt:variant>
        <vt:lpwstr/>
      </vt:variant>
      <vt:variant>
        <vt:lpwstr>_Toc207608726</vt:lpwstr>
      </vt:variant>
      <vt:variant>
        <vt:i4>1769522</vt:i4>
      </vt:variant>
      <vt:variant>
        <vt:i4>104</vt:i4>
      </vt:variant>
      <vt:variant>
        <vt:i4>0</vt:i4>
      </vt:variant>
      <vt:variant>
        <vt:i4>5</vt:i4>
      </vt:variant>
      <vt:variant>
        <vt:lpwstr/>
      </vt:variant>
      <vt:variant>
        <vt:lpwstr>_Toc207608725</vt:lpwstr>
      </vt:variant>
      <vt:variant>
        <vt:i4>1769522</vt:i4>
      </vt:variant>
      <vt:variant>
        <vt:i4>98</vt:i4>
      </vt:variant>
      <vt:variant>
        <vt:i4>0</vt:i4>
      </vt:variant>
      <vt:variant>
        <vt:i4>5</vt:i4>
      </vt:variant>
      <vt:variant>
        <vt:lpwstr/>
      </vt:variant>
      <vt:variant>
        <vt:lpwstr>_Toc207608724</vt:lpwstr>
      </vt:variant>
      <vt:variant>
        <vt:i4>1769522</vt:i4>
      </vt:variant>
      <vt:variant>
        <vt:i4>92</vt:i4>
      </vt:variant>
      <vt:variant>
        <vt:i4>0</vt:i4>
      </vt:variant>
      <vt:variant>
        <vt:i4>5</vt:i4>
      </vt:variant>
      <vt:variant>
        <vt:lpwstr/>
      </vt:variant>
      <vt:variant>
        <vt:lpwstr>_Toc207608723</vt:lpwstr>
      </vt:variant>
      <vt:variant>
        <vt:i4>1769522</vt:i4>
      </vt:variant>
      <vt:variant>
        <vt:i4>86</vt:i4>
      </vt:variant>
      <vt:variant>
        <vt:i4>0</vt:i4>
      </vt:variant>
      <vt:variant>
        <vt:i4>5</vt:i4>
      </vt:variant>
      <vt:variant>
        <vt:lpwstr/>
      </vt:variant>
      <vt:variant>
        <vt:lpwstr>_Toc207608722</vt:lpwstr>
      </vt:variant>
      <vt:variant>
        <vt:i4>1769522</vt:i4>
      </vt:variant>
      <vt:variant>
        <vt:i4>80</vt:i4>
      </vt:variant>
      <vt:variant>
        <vt:i4>0</vt:i4>
      </vt:variant>
      <vt:variant>
        <vt:i4>5</vt:i4>
      </vt:variant>
      <vt:variant>
        <vt:lpwstr/>
      </vt:variant>
      <vt:variant>
        <vt:lpwstr>_Toc207608721</vt:lpwstr>
      </vt:variant>
      <vt:variant>
        <vt:i4>1769522</vt:i4>
      </vt:variant>
      <vt:variant>
        <vt:i4>74</vt:i4>
      </vt:variant>
      <vt:variant>
        <vt:i4>0</vt:i4>
      </vt:variant>
      <vt:variant>
        <vt:i4>5</vt:i4>
      </vt:variant>
      <vt:variant>
        <vt:lpwstr/>
      </vt:variant>
      <vt:variant>
        <vt:lpwstr>_Toc207608720</vt:lpwstr>
      </vt:variant>
      <vt:variant>
        <vt:i4>1572914</vt:i4>
      </vt:variant>
      <vt:variant>
        <vt:i4>68</vt:i4>
      </vt:variant>
      <vt:variant>
        <vt:i4>0</vt:i4>
      </vt:variant>
      <vt:variant>
        <vt:i4>5</vt:i4>
      </vt:variant>
      <vt:variant>
        <vt:lpwstr/>
      </vt:variant>
      <vt:variant>
        <vt:lpwstr>_Toc207608719</vt:lpwstr>
      </vt:variant>
      <vt:variant>
        <vt:i4>1572914</vt:i4>
      </vt:variant>
      <vt:variant>
        <vt:i4>62</vt:i4>
      </vt:variant>
      <vt:variant>
        <vt:i4>0</vt:i4>
      </vt:variant>
      <vt:variant>
        <vt:i4>5</vt:i4>
      </vt:variant>
      <vt:variant>
        <vt:lpwstr/>
      </vt:variant>
      <vt:variant>
        <vt:lpwstr>_Toc207608718</vt:lpwstr>
      </vt:variant>
      <vt:variant>
        <vt:i4>1572914</vt:i4>
      </vt:variant>
      <vt:variant>
        <vt:i4>56</vt:i4>
      </vt:variant>
      <vt:variant>
        <vt:i4>0</vt:i4>
      </vt:variant>
      <vt:variant>
        <vt:i4>5</vt:i4>
      </vt:variant>
      <vt:variant>
        <vt:lpwstr/>
      </vt:variant>
      <vt:variant>
        <vt:lpwstr>_Toc207608717</vt:lpwstr>
      </vt:variant>
      <vt:variant>
        <vt:i4>1572914</vt:i4>
      </vt:variant>
      <vt:variant>
        <vt:i4>50</vt:i4>
      </vt:variant>
      <vt:variant>
        <vt:i4>0</vt:i4>
      </vt:variant>
      <vt:variant>
        <vt:i4>5</vt:i4>
      </vt:variant>
      <vt:variant>
        <vt:lpwstr/>
      </vt:variant>
      <vt:variant>
        <vt:lpwstr>_Toc207608716</vt:lpwstr>
      </vt:variant>
      <vt:variant>
        <vt:i4>1572914</vt:i4>
      </vt:variant>
      <vt:variant>
        <vt:i4>44</vt:i4>
      </vt:variant>
      <vt:variant>
        <vt:i4>0</vt:i4>
      </vt:variant>
      <vt:variant>
        <vt:i4>5</vt:i4>
      </vt:variant>
      <vt:variant>
        <vt:lpwstr/>
      </vt:variant>
      <vt:variant>
        <vt:lpwstr>_Toc207608715</vt:lpwstr>
      </vt:variant>
      <vt:variant>
        <vt:i4>1572914</vt:i4>
      </vt:variant>
      <vt:variant>
        <vt:i4>38</vt:i4>
      </vt:variant>
      <vt:variant>
        <vt:i4>0</vt:i4>
      </vt:variant>
      <vt:variant>
        <vt:i4>5</vt:i4>
      </vt:variant>
      <vt:variant>
        <vt:lpwstr/>
      </vt:variant>
      <vt:variant>
        <vt:lpwstr>_Toc207608714</vt:lpwstr>
      </vt:variant>
      <vt:variant>
        <vt:i4>1572914</vt:i4>
      </vt:variant>
      <vt:variant>
        <vt:i4>32</vt:i4>
      </vt:variant>
      <vt:variant>
        <vt:i4>0</vt:i4>
      </vt:variant>
      <vt:variant>
        <vt:i4>5</vt:i4>
      </vt:variant>
      <vt:variant>
        <vt:lpwstr/>
      </vt:variant>
      <vt:variant>
        <vt:lpwstr>_Toc207608713</vt:lpwstr>
      </vt:variant>
      <vt:variant>
        <vt:i4>1572914</vt:i4>
      </vt:variant>
      <vt:variant>
        <vt:i4>26</vt:i4>
      </vt:variant>
      <vt:variant>
        <vt:i4>0</vt:i4>
      </vt:variant>
      <vt:variant>
        <vt:i4>5</vt:i4>
      </vt:variant>
      <vt:variant>
        <vt:lpwstr/>
      </vt:variant>
      <vt:variant>
        <vt:lpwstr>_Toc207608712</vt:lpwstr>
      </vt:variant>
      <vt:variant>
        <vt:i4>1572914</vt:i4>
      </vt:variant>
      <vt:variant>
        <vt:i4>20</vt:i4>
      </vt:variant>
      <vt:variant>
        <vt:i4>0</vt:i4>
      </vt:variant>
      <vt:variant>
        <vt:i4>5</vt:i4>
      </vt:variant>
      <vt:variant>
        <vt:lpwstr/>
      </vt:variant>
      <vt:variant>
        <vt:lpwstr>_Toc207608711</vt:lpwstr>
      </vt:variant>
      <vt:variant>
        <vt:i4>1572914</vt:i4>
      </vt:variant>
      <vt:variant>
        <vt:i4>14</vt:i4>
      </vt:variant>
      <vt:variant>
        <vt:i4>0</vt:i4>
      </vt:variant>
      <vt:variant>
        <vt:i4>5</vt:i4>
      </vt:variant>
      <vt:variant>
        <vt:lpwstr/>
      </vt:variant>
      <vt:variant>
        <vt:lpwstr>_Toc207608710</vt:lpwstr>
      </vt:variant>
      <vt:variant>
        <vt:i4>1638450</vt:i4>
      </vt:variant>
      <vt:variant>
        <vt:i4>8</vt:i4>
      </vt:variant>
      <vt:variant>
        <vt:i4>0</vt:i4>
      </vt:variant>
      <vt:variant>
        <vt:i4>5</vt:i4>
      </vt:variant>
      <vt:variant>
        <vt:lpwstr/>
      </vt:variant>
      <vt:variant>
        <vt:lpwstr>_Toc207608709</vt:lpwstr>
      </vt:variant>
      <vt:variant>
        <vt:i4>5505035</vt:i4>
      </vt:variant>
      <vt:variant>
        <vt:i4>3</vt:i4>
      </vt:variant>
      <vt:variant>
        <vt:i4>0</vt:i4>
      </vt:variant>
      <vt:variant>
        <vt:i4>5</vt:i4>
      </vt:variant>
      <vt:variant>
        <vt:lpwstr/>
      </vt:variant>
      <vt:variant>
        <vt:lpwstr>_Why_change?</vt:lpwstr>
      </vt:variant>
      <vt:variant>
        <vt:i4>5111852</vt:i4>
      </vt:variant>
      <vt:variant>
        <vt:i4>0</vt:i4>
      </vt:variant>
      <vt:variant>
        <vt:i4>0</vt:i4>
      </vt:variant>
      <vt:variant>
        <vt:i4>5</vt:i4>
      </vt:variant>
      <vt:variant>
        <vt:lpwstr/>
      </vt:variant>
      <vt:variant>
        <vt:lpwstr>_Executive_summary_1</vt:lpwstr>
      </vt:variant>
      <vt:variant>
        <vt:i4>5439559</vt:i4>
      </vt:variant>
      <vt:variant>
        <vt:i4>6</vt:i4>
      </vt:variant>
      <vt:variant>
        <vt:i4>0</vt:i4>
      </vt:variant>
      <vt:variant>
        <vt:i4>5</vt:i4>
      </vt:variant>
      <vt:variant>
        <vt:lpwstr>https://support.microsoft.com/en-us/office/add-or-delete-bookmarks-in-a-word-document-or-outlook-message-f68d781f-0150-4583-a90e-a4009d99c2a0</vt:lpwstr>
      </vt:variant>
      <vt:variant>
        <vt:lpwstr/>
      </vt:variant>
      <vt:variant>
        <vt:i4>5439559</vt:i4>
      </vt:variant>
      <vt:variant>
        <vt:i4>3</vt:i4>
      </vt:variant>
      <vt:variant>
        <vt:i4>0</vt:i4>
      </vt:variant>
      <vt:variant>
        <vt:i4>5</vt:i4>
      </vt:variant>
      <vt:variant>
        <vt:lpwstr>https://support.microsoft.com/en-us/office/add-or-delete-bookmarks-in-a-word-document-or-outlook-message-f68d781f-0150-4583-a90e-a4009d99c2a0</vt:lpwstr>
      </vt:variant>
      <vt:variant>
        <vt:lpwstr/>
      </vt:variant>
      <vt:variant>
        <vt:i4>5439559</vt:i4>
      </vt:variant>
      <vt:variant>
        <vt:i4>0</vt:i4>
      </vt:variant>
      <vt:variant>
        <vt:i4>0</vt:i4>
      </vt:variant>
      <vt:variant>
        <vt:i4>5</vt:i4>
      </vt:variant>
      <vt:variant>
        <vt:lpwstr>https://support.microsoft.com/en-us/office/add-or-delete-bookmarks-in-a-word-document-or-outlook-message-f68d781f-0150-4583-a90e-a4009d99c2a0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Rivalland</dc:creator>
  <cp:keywords/>
  <dc:description/>
  <cp:lastModifiedBy>Matthew Larreta</cp:lastModifiedBy>
  <cp:revision>208</cp:revision>
  <cp:lastPrinted>2020-06-02T06:47:00Z</cp:lastPrinted>
  <dcterms:created xsi:type="dcterms:W3CDTF">2025-09-01T15:43:00Z</dcterms:created>
  <dcterms:modified xsi:type="dcterms:W3CDTF">2026-04-13T18:12:00Z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rammarlyDocumentId">
    <vt:lpwstr>cd1d8ae0-d319-46b9-ab31-5d8255665720</vt:lpwstr>
  </property>
  <property fmtid="{D5CDD505-2E9C-101B-9397-08002B2CF9AE}" pid="10" name="docLang">
    <vt:lpwstr>en</vt:lpwstr>
  </property>
</Properties>
</file>